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1AA" w:rsidRDefault="00AA41AA" w:rsidP="003A2846">
      <w:pPr>
        <w:pStyle w:val="Sinespaciado"/>
        <w:ind w:left="142"/>
        <w:rPr>
          <w:rFonts w:ascii="Arial Black" w:hAnsi="Arial Black"/>
          <w:b/>
          <w:sz w:val="18"/>
          <w:szCs w:val="18"/>
        </w:rPr>
      </w:pPr>
    </w:p>
    <w:p w:rsidR="00A97640" w:rsidRPr="00824091" w:rsidRDefault="00A97640" w:rsidP="003A2846">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sidR="000F3B55">
        <w:rPr>
          <w:rFonts w:ascii="Arial Black" w:hAnsi="Arial Black"/>
          <w:b/>
          <w:sz w:val="18"/>
          <w:szCs w:val="18"/>
        </w:rPr>
        <w:tab/>
      </w:r>
      <w:r w:rsidR="000F3B55">
        <w:rPr>
          <w:rFonts w:ascii="Arial Black" w:hAnsi="Arial Black"/>
          <w:b/>
          <w:sz w:val="18"/>
          <w:szCs w:val="18"/>
        </w:rPr>
        <w:tab/>
      </w:r>
      <w:r w:rsidR="000F3B55">
        <w:rPr>
          <w:rFonts w:ascii="Arial Black" w:hAnsi="Arial Black"/>
          <w:b/>
          <w:sz w:val="18"/>
          <w:szCs w:val="18"/>
        </w:rPr>
        <w:tab/>
      </w:r>
      <w:r w:rsidR="000F3B55">
        <w:rPr>
          <w:rFonts w:ascii="Arial Black" w:hAnsi="Arial Black"/>
          <w:b/>
          <w:sz w:val="18"/>
          <w:szCs w:val="18"/>
        </w:rPr>
        <w:tab/>
      </w:r>
      <w:r w:rsidR="000F3B55">
        <w:rPr>
          <w:rFonts w:ascii="Arial Black" w:hAnsi="Arial Black"/>
          <w:b/>
          <w:sz w:val="18"/>
          <w:szCs w:val="18"/>
        </w:rPr>
        <w:tab/>
      </w:r>
      <w:r w:rsidR="000F3B55">
        <w:rPr>
          <w:rFonts w:ascii="Arial Black" w:hAnsi="Arial Black"/>
          <w:b/>
          <w:sz w:val="18"/>
          <w:szCs w:val="18"/>
        </w:rPr>
        <w:tab/>
      </w:r>
      <w:r w:rsidR="000F3B55">
        <w:rPr>
          <w:rFonts w:ascii="Arial Black" w:hAnsi="Arial Black"/>
          <w:b/>
          <w:sz w:val="18"/>
          <w:szCs w:val="18"/>
        </w:rPr>
        <w:tab/>
      </w:r>
      <w:r w:rsidR="000F3B55">
        <w:rPr>
          <w:rFonts w:ascii="Arial Black" w:hAnsi="Arial Black"/>
          <w:b/>
          <w:sz w:val="18"/>
          <w:szCs w:val="18"/>
        </w:rPr>
        <w:tab/>
      </w:r>
      <w:r w:rsidR="000F3B55">
        <w:rPr>
          <w:rFonts w:ascii="Arial Black" w:hAnsi="Arial Black"/>
          <w:b/>
          <w:sz w:val="18"/>
          <w:szCs w:val="18"/>
        </w:rPr>
        <w:tab/>
      </w:r>
      <w:r w:rsidR="000F3B55">
        <w:rPr>
          <w:rFonts w:ascii="Arial Black" w:hAnsi="Arial Black"/>
          <w:b/>
          <w:sz w:val="18"/>
          <w:szCs w:val="18"/>
        </w:rPr>
        <w:tab/>
      </w:r>
      <w:r w:rsidR="000F3B55">
        <w:rPr>
          <w:rFonts w:ascii="Arial Black" w:hAnsi="Arial Black"/>
          <w:b/>
          <w:sz w:val="18"/>
          <w:szCs w:val="18"/>
        </w:rPr>
        <w:tab/>
      </w:r>
      <w:r w:rsidR="000F3B55">
        <w:rPr>
          <w:rFonts w:ascii="Arial Black" w:hAnsi="Arial Black"/>
          <w:b/>
          <w:sz w:val="18"/>
          <w:szCs w:val="18"/>
        </w:rPr>
        <w:tab/>
      </w:r>
      <w:r w:rsidR="000F3B55">
        <w:rPr>
          <w:rFonts w:ascii="Arial Black" w:hAnsi="Arial Black"/>
          <w:b/>
          <w:sz w:val="18"/>
          <w:szCs w:val="18"/>
        </w:rPr>
        <w:tab/>
      </w:r>
      <w:r w:rsidR="00E53486">
        <w:rPr>
          <w:rFonts w:ascii="Arial Black" w:hAnsi="Arial Black"/>
          <w:b/>
          <w:sz w:val="18"/>
          <w:szCs w:val="18"/>
        </w:rPr>
        <w:t xml:space="preserve">HOJA: 1 DE: </w:t>
      </w:r>
      <w:r w:rsidR="002008DF">
        <w:rPr>
          <w:rFonts w:ascii="Arial Black" w:hAnsi="Arial Black"/>
          <w:b/>
          <w:sz w:val="18"/>
          <w:szCs w:val="18"/>
        </w:rPr>
        <w:t>2</w:t>
      </w:r>
    </w:p>
    <w:p w:rsidR="00A97640" w:rsidRDefault="00A97640" w:rsidP="003A2846">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CONTROL INTERNO DISCIPLINARIO</w:t>
      </w:r>
    </w:p>
    <w:p w:rsidR="00AA41AA" w:rsidRDefault="00A97640" w:rsidP="00063B89">
      <w:pPr>
        <w:pStyle w:val="Sinespaciado"/>
        <w:ind w:left="142"/>
        <w:rPr>
          <w:rFonts w:ascii="Arial Black" w:hAnsi="Arial Black"/>
          <w:b/>
          <w:sz w:val="18"/>
          <w:szCs w:val="18"/>
        </w:rPr>
      </w:pPr>
      <w:r>
        <w:rPr>
          <w:rFonts w:ascii="Arial Black" w:hAnsi="Arial Black"/>
          <w:b/>
          <w:sz w:val="18"/>
          <w:szCs w:val="18"/>
        </w:rPr>
        <w:t>CÓDIGO SECCIÓN: 102</w:t>
      </w:r>
    </w:p>
    <w:p w:rsidR="00F76752" w:rsidRDefault="00F76752" w:rsidP="00063B89">
      <w:pPr>
        <w:pStyle w:val="Sinespaciado"/>
        <w:ind w:left="142"/>
        <w:rPr>
          <w:rFonts w:ascii="Arial Black" w:hAnsi="Arial Black"/>
          <w:b/>
          <w:sz w:val="18"/>
          <w:szCs w:val="18"/>
        </w:rPr>
      </w:pPr>
      <w:bookmarkStart w:id="0" w:name="_GoBack"/>
      <w:bookmarkEnd w:id="0"/>
    </w:p>
    <w:tbl>
      <w:tblPr>
        <w:tblW w:w="1731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224"/>
        <w:gridCol w:w="1134"/>
        <w:gridCol w:w="1105"/>
        <w:gridCol w:w="567"/>
        <w:gridCol w:w="425"/>
        <w:gridCol w:w="425"/>
        <w:gridCol w:w="426"/>
        <w:gridCol w:w="7825"/>
      </w:tblGrid>
      <w:tr w:rsidR="00A97640" w:rsidRPr="00824091" w:rsidTr="00B618F7">
        <w:trPr>
          <w:trHeight w:val="380"/>
        </w:trPr>
        <w:tc>
          <w:tcPr>
            <w:tcW w:w="1187" w:type="dxa"/>
            <w:vMerge w:val="restart"/>
            <w:shd w:val="clear" w:color="auto" w:fill="00B0F0"/>
            <w:vAlign w:val="center"/>
          </w:tcPr>
          <w:p w:rsidR="00A97640" w:rsidRPr="00473E5A" w:rsidRDefault="00A97640" w:rsidP="00282D81">
            <w:pPr>
              <w:spacing w:after="0" w:line="240" w:lineRule="auto"/>
              <w:jc w:val="center"/>
              <w:rPr>
                <w:rFonts w:ascii="Arial Black" w:hAnsi="Arial Black" w:cs="Arial"/>
                <w:b/>
                <w:sz w:val="18"/>
                <w:szCs w:val="18"/>
              </w:rPr>
            </w:pPr>
            <w:r w:rsidRPr="00473E5A">
              <w:rPr>
                <w:rFonts w:ascii="Arial Black" w:hAnsi="Arial Black" w:cs="Arial"/>
                <w:b/>
                <w:sz w:val="18"/>
                <w:szCs w:val="18"/>
              </w:rPr>
              <w:t>CÓDIGO</w:t>
            </w:r>
          </w:p>
        </w:tc>
        <w:tc>
          <w:tcPr>
            <w:tcW w:w="4224" w:type="dxa"/>
            <w:vMerge w:val="restart"/>
            <w:shd w:val="clear" w:color="auto" w:fill="00B0F0"/>
            <w:vAlign w:val="center"/>
          </w:tcPr>
          <w:p w:rsidR="00A97640" w:rsidRPr="00473E5A" w:rsidRDefault="00A97640" w:rsidP="00282D81">
            <w:pPr>
              <w:spacing w:after="0" w:line="240" w:lineRule="auto"/>
              <w:jc w:val="center"/>
              <w:rPr>
                <w:rFonts w:ascii="Arial Black" w:hAnsi="Arial Black" w:cs="Arial"/>
                <w:b/>
                <w:sz w:val="18"/>
                <w:szCs w:val="18"/>
              </w:rPr>
            </w:pPr>
            <w:r w:rsidRPr="00473E5A">
              <w:rPr>
                <w:rFonts w:ascii="Arial Black" w:hAnsi="Arial Black" w:cs="Arial"/>
                <w:b/>
                <w:sz w:val="18"/>
                <w:szCs w:val="18"/>
              </w:rPr>
              <w:t>SERIES</w:t>
            </w:r>
          </w:p>
          <w:p w:rsidR="00A97640" w:rsidRPr="00473E5A" w:rsidRDefault="00A97640" w:rsidP="00282D81">
            <w:pPr>
              <w:spacing w:after="0" w:line="240" w:lineRule="auto"/>
              <w:jc w:val="center"/>
              <w:rPr>
                <w:rFonts w:ascii="Arial Black" w:hAnsi="Arial Black" w:cs="Arial"/>
                <w:b/>
                <w:sz w:val="18"/>
                <w:szCs w:val="18"/>
              </w:rPr>
            </w:pPr>
            <w:r w:rsidRPr="00473E5A">
              <w:rPr>
                <w:rFonts w:ascii="Arial Black" w:hAnsi="Arial Black" w:cs="Arial"/>
                <w:b/>
                <w:sz w:val="18"/>
                <w:szCs w:val="18"/>
              </w:rPr>
              <w:t>Y TIPOS DOCUMENTALES</w:t>
            </w:r>
          </w:p>
        </w:tc>
        <w:tc>
          <w:tcPr>
            <w:tcW w:w="2239" w:type="dxa"/>
            <w:gridSpan w:val="2"/>
            <w:shd w:val="clear" w:color="auto" w:fill="00B0F0"/>
            <w:vAlign w:val="center"/>
          </w:tcPr>
          <w:p w:rsidR="00A97640" w:rsidRPr="00473E5A" w:rsidRDefault="00A97640" w:rsidP="00282D81">
            <w:pPr>
              <w:spacing w:after="0" w:line="240" w:lineRule="auto"/>
              <w:jc w:val="center"/>
              <w:rPr>
                <w:rFonts w:ascii="Arial Black" w:hAnsi="Arial Black" w:cs="Arial"/>
                <w:b/>
                <w:sz w:val="18"/>
                <w:szCs w:val="18"/>
              </w:rPr>
            </w:pPr>
            <w:r w:rsidRPr="00473E5A">
              <w:rPr>
                <w:rFonts w:ascii="Arial Black" w:hAnsi="Arial Black" w:cs="Arial"/>
                <w:b/>
                <w:sz w:val="18"/>
                <w:szCs w:val="18"/>
              </w:rPr>
              <w:t>RETENCIÓN</w:t>
            </w:r>
          </w:p>
        </w:tc>
        <w:tc>
          <w:tcPr>
            <w:tcW w:w="1843" w:type="dxa"/>
            <w:gridSpan w:val="4"/>
            <w:shd w:val="clear" w:color="auto" w:fill="00B0F0"/>
            <w:vAlign w:val="center"/>
          </w:tcPr>
          <w:p w:rsidR="00A97640" w:rsidRPr="00473E5A" w:rsidRDefault="00A97640" w:rsidP="00282D81">
            <w:pPr>
              <w:spacing w:after="0" w:line="240" w:lineRule="auto"/>
              <w:jc w:val="center"/>
              <w:rPr>
                <w:rFonts w:ascii="Arial Black" w:hAnsi="Arial Black" w:cs="Arial"/>
                <w:b/>
                <w:sz w:val="18"/>
                <w:szCs w:val="18"/>
              </w:rPr>
            </w:pPr>
            <w:r w:rsidRPr="00473E5A">
              <w:rPr>
                <w:rFonts w:ascii="Arial Black" w:hAnsi="Arial Black" w:cs="Arial"/>
                <w:b/>
                <w:sz w:val="18"/>
                <w:szCs w:val="18"/>
              </w:rPr>
              <w:t>Disposición Final</w:t>
            </w:r>
          </w:p>
        </w:tc>
        <w:tc>
          <w:tcPr>
            <w:tcW w:w="7825" w:type="dxa"/>
            <w:vMerge w:val="restart"/>
            <w:shd w:val="clear" w:color="auto" w:fill="00B0F0"/>
            <w:vAlign w:val="center"/>
          </w:tcPr>
          <w:p w:rsidR="00A97640" w:rsidRPr="00473E5A" w:rsidRDefault="00A97640" w:rsidP="001B4E11">
            <w:pPr>
              <w:spacing w:after="0" w:line="240" w:lineRule="auto"/>
              <w:jc w:val="center"/>
              <w:rPr>
                <w:rFonts w:ascii="Arial Black" w:hAnsi="Arial Black" w:cs="Arial"/>
                <w:b/>
                <w:sz w:val="18"/>
                <w:szCs w:val="18"/>
              </w:rPr>
            </w:pPr>
            <w:r w:rsidRPr="00473E5A">
              <w:rPr>
                <w:rFonts w:ascii="Arial Black" w:hAnsi="Arial Black" w:cs="Arial"/>
                <w:b/>
                <w:sz w:val="18"/>
                <w:szCs w:val="18"/>
              </w:rPr>
              <w:t>PROCEDIMIENTOS</w:t>
            </w:r>
          </w:p>
        </w:tc>
      </w:tr>
      <w:tr w:rsidR="00A97640" w:rsidRPr="00824091" w:rsidTr="00E53486">
        <w:trPr>
          <w:trHeight w:val="557"/>
        </w:trPr>
        <w:tc>
          <w:tcPr>
            <w:tcW w:w="1187" w:type="dxa"/>
            <w:vMerge/>
            <w:tcBorders>
              <w:bottom w:val="single" w:sz="4" w:space="0" w:color="000000"/>
            </w:tcBorders>
            <w:shd w:val="clear" w:color="auto" w:fill="8496B0" w:themeFill="text2" w:themeFillTint="99"/>
            <w:vAlign w:val="center"/>
          </w:tcPr>
          <w:p w:rsidR="00A97640" w:rsidRPr="00473E5A" w:rsidRDefault="00A97640" w:rsidP="00282D81">
            <w:pPr>
              <w:spacing w:after="0" w:line="240" w:lineRule="auto"/>
              <w:jc w:val="center"/>
              <w:rPr>
                <w:rFonts w:ascii="Arial Black" w:hAnsi="Arial Black" w:cs="Arial"/>
                <w:b/>
                <w:sz w:val="18"/>
                <w:szCs w:val="18"/>
              </w:rPr>
            </w:pPr>
          </w:p>
        </w:tc>
        <w:tc>
          <w:tcPr>
            <w:tcW w:w="4224" w:type="dxa"/>
            <w:vMerge/>
            <w:tcBorders>
              <w:bottom w:val="single" w:sz="4" w:space="0" w:color="000000"/>
            </w:tcBorders>
            <w:shd w:val="clear" w:color="auto" w:fill="8496B0" w:themeFill="text2" w:themeFillTint="99"/>
            <w:vAlign w:val="center"/>
          </w:tcPr>
          <w:p w:rsidR="00A97640" w:rsidRPr="00473E5A" w:rsidRDefault="00A97640" w:rsidP="00282D81">
            <w:pPr>
              <w:spacing w:after="0" w:line="240" w:lineRule="auto"/>
              <w:jc w:val="center"/>
              <w:rPr>
                <w:rFonts w:ascii="Arial Black" w:hAnsi="Arial Black" w:cs="Arial"/>
                <w:b/>
                <w:sz w:val="18"/>
                <w:szCs w:val="18"/>
              </w:rPr>
            </w:pPr>
          </w:p>
        </w:tc>
        <w:tc>
          <w:tcPr>
            <w:tcW w:w="1134" w:type="dxa"/>
            <w:tcBorders>
              <w:bottom w:val="single" w:sz="4" w:space="0" w:color="000000"/>
            </w:tcBorders>
            <w:shd w:val="clear" w:color="auto" w:fill="00B0F0"/>
            <w:vAlign w:val="center"/>
          </w:tcPr>
          <w:p w:rsidR="00A97640" w:rsidRPr="00473E5A" w:rsidRDefault="00A97640" w:rsidP="00282D81">
            <w:pPr>
              <w:spacing w:after="0" w:line="240" w:lineRule="auto"/>
              <w:jc w:val="center"/>
              <w:rPr>
                <w:rFonts w:ascii="Arial Black" w:hAnsi="Arial Black" w:cs="Arial"/>
                <w:b/>
                <w:sz w:val="18"/>
                <w:szCs w:val="18"/>
              </w:rPr>
            </w:pPr>
            <w:r w:rsidRPr="00473E5A">
              <w:rPr>
                <w:rFonts w:ascii="Arial Black" w:hAnsi="Arial Black" w:cs="Arial"/>
                <w:b/>
                <w:sz w:val="18"/>
                <w:szCs w:val="18"/>
              </w:rPr>
              <w:t>Archivo de   Gestión</w:t>
            </w:r>
          </w:p>
        </w:tc>
        <w:tc>
          <w:tcPr>
            <w:tcW w:w="1105" w:type="dxa"/>
            <w:tcBorders>
              <w:bottom w:val="single" w:sz="4" w:space="0" w:color="000000"/>
            </w:tcBorders>
            <w:shd w:val="clear" w:color="auto" w:fill="00B0F0"/>
            <w:vAlign w:val="center"/>
          </w:tcPr>
          <w:p w:rsidR="00A97640" w:rsidRPr="00473E5A" w:rsidRDefault="00A97640" w:rsidP="00282D81">
            <w:pPr>
              <w:spacing w:after="0" w:line="240" w:lineRule="auto"/>
              <w:jc w:val="center"/>
              <w:rPr>
                <w:rFonts w:ascii="Arial Black" w:hAnsi="Arial Black" w:cs="Arial"/>
                <w:b/>
                <w:sz w:val="18"/>
                <w:szCs w:val="18"/>
              </w:rPr>
            </w:pPr>
            <w:r w:rsidRPr="00473E5A">
              <w:rPr>
                <w:rFonts w:ascii="Arial Black" w:hAnsi="Arial Black" w:cs="Arial"/>
                <w:b/>
                <w:sz w:val="18"/>
                <w:szCs w:val="18"/>
              </w:rPr>
              <w:t>Archivo         Central</w:t>
            </w:r>
          </w:p>
        </w:tc>
        <w:tc>
          <w:tcPr>
            <w:tcW w:w="567" w:type="dxa"/>
            <w:tcBorders>
              <w:bottom w:val="single" w:sz="4" w:space="0" w:color="000000"/>
            </w:tcBorders>
            <w:shd w:val="clear" w:color="auto" w:fill="00B0F0"/>
            <w:vAlign w:val="center"/>
          </w:tcPr>
          <w:p w:rsidR="00A97640" w:rsidRPr="00473E5A" w:rsidRDefault="00A97640" w:rsidP="00282D81">
            <w:pPr>
              <w:spacing w:after="0" w:line="240" w:lineRule="auto"/>
              <w:jc w:val="center"/>
              <w:rPr>
                <w:rFonts w:ascii="Arial Black" w:hAnsi="Arial Black" w:cs="Arial"/>
                <w:b/>
                <w:sz w:val="18"/>
                <w:szCs w:val="18"/>
              </w:rPr>
            </w:pPr>
            <w:r w:rsidRPr="00473E5A">
              <w:rPr>
                <w:rFonts w:ascii="Arial Black" w:hAnsi="Arial Black" w:cs="Arial"/>
                <w:b/>
                <w:sz w:val="18"/>
                <w:szCs w:val="18"/>
              </w:rPr>
              <w:t>CT</w:t>
            </w:r>
          </w:p>
        </w:tc>
        <w:tc>
          <w:tcPr>
            <w:tcW w:w="425" w:type="dxa"/>
            <w:tcBorders>
              <w:bottom w:val="single" w:sz="4" w:space="0" w:color="000000"/>
            </w:tcBorders>
            <w:shd w:val="clear" w:color="auto" w:fill="00B0F0"/>
            <w:vAlign w:val="center"/>
          </w:tcPr>
          <w:p w:rsidR="00A97640" w:rsidRPr="00473E5A" w:rsidRDefault="00A97640" w:rsidP="00282D81">
            <w:pPr>
              <w:spacing w:after="0" w:line="240" w:lineRule="auto"/>
              <w:jc w:val="center"/>
              <w:rPr>
                <w:rFonts w:ascii="Arial Black" w:hAnsi="Arial Black" w:cs="Arial"/>
                <w:b/>
                <w:sz w:val="18"/>
                <w:szCs w:val="18"/>
              </w:rPr>
            </w:pPr>
            <w:r w:rsidRPr="00473E5A">
              <w:rPr>
                <w:rFonts w:ascii="Arial Black" w:hAnsi="Arial Black" w:cs="Arial"/>
                <w:b/>
                <w:sz w:val="18"/>
                <w:szCs w:val="18"/>
              </w:rPr>
              <w:t>E</w:t>
            </w:r>
          </w:p>
        </w:tc>
        <w:tc>
          <w:tcPr>
            <w:tcW w:w="425" w:type="dxa"/>
            <w:tcBorders>
              <w:bottom w:val="single" w:sz="4" w:space="0" w:color="000000"/>
            </w:tcBorders>
            <w:shd w:val="clear" w:color="auto" w:fill="00B0F0"/>
            <w:vAlign w:val="center"/>
          </w:tcPr>
          <w:p w:rsidR="00A97640" w:rsidRPr="00473E5A" w:rsidRDefault="00A97640" w:rsidP="00282D81">
            <w:pPr>
              <w:spacing w:after="0" w:line="240" w:lineRule="auto"/>
              <w:jc w:val="center"/>
              <w:rPr>
                <w:rFonts w:ascii="Arial Black" w:hAnsi="Arial Black" w:cs="Arial"/>
                <w:b/>
                <w:sz w:val="18"/>
                <w:szCs w:val="18"/>
              </w:rPr>
            </w:pPr>
            <w:r w:rsidRPr="00473E5A">
              <w:rPr>
                <w:rFonts w:ascii="Arial Black" w:hAnsi="Arial Black" w:cs="Arial"/>
                <w:b/>
                <w:sz w:val="18"/>
                <w:szCs w:val="18"/>
              </w:rPr>
              <w:t>D</w:t>
            </w:r>
          </w:p>
        </w:tc>
        <w:tc>
          <w:tcPr>
            <w:tcW w:w="426" w:type="dxa"/>
            <w:tcBorders>
              <w:bottom w:val="single" w:sz="4" w:space="0" w:color="000000"/>
            </w:tcBorders>
            <w:shd w:val="clear" w:color="auto" w:fill="00B0F0"/>
            <w:vAlign w:val="center"/>
          </w:tcPr>
          <w:p w:rsidR="00A97640" w:rsidRPr="00473E5A" w:rsidRDefault="00A97640" w:rsidP="00282D81">
            <w:pPr>
              <w:spacing w:after="0" w:line="240" w:lineRule="auto"/>
              <w:jc w:val="center"/>
              <w:rPr>
                <w:rFonts w:ascii="Arial Black" w:hAnsi="Arial Black" w:cs="Arial"/>
                <w:b/>
                <w:sz w:val="18"/>
                <w:szCs w:val="18"/>
              </w:rPr>
            </w:pPr>
            <w:r w:rsidRPr="00473E5A">
              <w:rPr>
                <w:rFonts w:ascii="Arial Black" w:hAnsi="Arial Black" w:cs="Arial"/>
                <w:b/>
                <w:sz w:val="18"/>
                <w:szCs w:val="18"/>
              </w:rPr>
              <w:t>S</w:t>
            </w:r>
          </w:p>
        </w:tc>
        <w:tc>
          <w:tcPr>
            <w:tcW w:w="7825" w:type="dxa"/>
            <w:vMerge/>
            <w:tcBorders>
              <w:bottom w:val="single" w:sz="4" w:space="0" w:color="000000"/>
            </w:tcBorders>
            <w:shd w:val="clear" w:color="auto" w:fill="8496B0" w:themeFill="text2" w:themeFillTint="99"/>
          </w:tcPr>
          <w:p w:rsidR="00A97640" w:rsidRPr="00473E5A" w:rsidRDefault="00A97640" w:rsidP="001B4E11">
            <w:pPr>
              <w:spacing w:after="0" w:line="240" w:lineRule="auto"/>
              <w:rPr>
                <w:rFonts w:ascii="Arial Black" w:hAnsi="Arial Black"/>
                <w:sz w:val="18"/>
                <w:szCs w:val="18"/>
              </w:rPr>
            </w:pPr>
          </w:p>
        </w:tc>
      </w:tr>
      <w:tr w:rsidR="00A97640" w:rsidRPr="00824091" w:rsidTr="00E53486">
        <w:trPr>
          <w:trHeight w:val="5206"/>
        </w:trPr>
        <w:tc>
          <w:tcPr>
            <w:tcW w:w="1187" w:type="dxa"/>
            <w:tcBorders>
              <w:bottom w:val="single" w:sz="4" w:space="0" w:color="auto"/>
            </w:tcBorders>
          </w:tcPr>
          <w:p w:rsidR="009E2F84" w:rsidRPr="00E53486" w:rsidRDefault="009E2F84" w:rsidP="00A97640">
            <w:pPr>
              <w:spacing w:after="0" w:line="240" w:lineRule="auto"/>
              <w:rPr>
                <w:rFonts w:ascii="Arial" w:hAnsi="Arial" w:cs="Arial"/>
                <w:b/>
                <w:sz w:val="16"/>
                <w:szCs w:val="16"/>
              </w:rPr>
            </w:pPr>
          </w:p>
          <w:p w:rsidR="00A97640" w:rsidRPr="00E53486" w:rsidRDefault="00A97640" w:rsidP="00A97640">
            <w:pPr>
              <w:spacing w:after="0" w:line="240" w:lineRule="auto"/>
              <w:rPr>
                <w:rFonts w:ascii="Arial" w:hAnsi="Arial" w:cs="Arial"/>
                <w:b/>
                <w:sz w:val="16"/>
                <w:szCs w:val="16"/>
              </w:rPr>
            </w:pPr>
            <w:r w:rsidRPr="00E53486">
              <w:rPr>
                <w:rFonts w:ascii="Arial" w:hAnsi="Arial" w:cs="Arial"/>
                <w:b/>
                <w:sz w:val="16"/>
                <w:szCs w:val="16"/>
              </w:rPr>
              <w:t>102-</w:t>
            </w:r>
            <w:r w:rsidR="00E76C74" w:rsidRPr="00E53486">
              <w:rPr>
                <w:rFonts w:ascii="Arial" w:hAnsi="Arial" w:cs="Arial"/>
                <w:b/>
                <w:sz w:val="16"/>
                <w:szCs w:val="16"/>
              </w:rPr>
              <w:t>30</w:t>
            </w:r>
          </w:p>
          <w:p w:rsidR="00A97640" w:rsidRPr="00E53486" w:rsidRDefault="00A97640" w:rsidP="00A97640">
            <w:pPr>
              <w:spacing w:after="0" w:line="240" w:lineRule="auto"/>
              <w:rPr>
                <w:rFonts w:ascii="Arial" w:hAnsi="Arial" w:cs="Arial"/>
                <w:sz w:val="16"/>
                <w:szCs w:val="16"/>
              </w:rPr>
            </w:pPr>
            <w:r w:rsidRPr="00E53486">
              <w:rPr>
                <w:rFonts w:ascii="Arial" w:hAnsi="Arial" w:cs="Arial"/>
                <w:b/>
                <w:sz w:val="16"/>
                <w:szCs w:val="16"/>
              </w:rPr>
              <w:t>102-</w:t>
            </w:r>
            <w:r w:rsidR="00E76C74" w:rsidRPr="00E53486">
              <w:rPr>
                <w:rFonts w:ascii="Arial" w:hAnsi="Arial" w:cs="Arial"/>
                <w:b/>
                <w:sz w:val="16"/>
                <w:szCs w:val="16"/>
              </w:rPr>
              <w:t>30</w:t>
            </w:r>
            <w:r w:rsidRPr="00E53486">
              <w:rPr>
                <w:rFonts w:ascii="Arial" w:hAnsi="Arial" w:cs="Arial"/>
                <w:b/>
                <w:sz w:val="16"/>
                <w:szCs w:val="16"/>
              </w:rPr>
              <w:t>.1</w:t>
            </w:r>
          </w:p>
        </w:tc>
        <w:tc>
          <w:tcPr>
            <w:tcW w:w="4224" w:type="dxa"/>
            <w:tcBorders>
              <w:bottom w:val="single" w:sz="4" w:space="0" w:color="auto"/>
            </w:tcBorders>
          </w:tcPr>
          <w:p w:rsidR="009E2F84" w:rsidRPr="00E53486" w:rsidRDefault="009E2F84" w:rsidP="00A97640">
            <w:pPr>
              <w:spacing w:after="0" w:line="240" w:lineRule="auto"/>
              <w:rPr>
                <w:rFonts w:ascii="Arial" w:hAnsi="Arial" w:cs="Arial"/>
                <w:b/>
                <w:sz w:val="16"/>
                <w:szCs w:val="16"/>
              </w:rPr>
            </w:pPr>
          </w:p>
          <w:p w:rsidR="00A97640" w:rsidRPr="00E53486" w:rsidRDefault="00A97640" w:rsidP="00A97640">
            <w:pPr>
              <w:spacing w:after="0" w:line="240" w:lineRule="auto"/>
              <w:rPr>
                <w:rFonts w:ascii="Arial" w:hAnsi="Arial" w:cs="Arial"/>
                <w:b/>
                <w:sz w:val="16"/>
                <w:szCs w:val="16"/>
              </w:rPr>
            </w:pPr>
            <w:r w:rsidRPr="00E53486">
              <w:rPr>
                <w:rFonts w:ascii="Arial" w:hAnsi="Arial" w:cs="Arial"/>
                <w:b/>
                <w:sz w:val="16"/>
                <w:szCs w:val="16"/>
              </w:rPr>
              <w:t>PROCESOS</w:t>
            </w:r>
          </w:p>
          <w:p w:rsidR="00A97640" w:rsidRPr="00E53486" w:rsidRDefault="00A97640" w:rsidP="00A97640">
            <w:pPr>
              <w:spacing w:after="0" w:line="240" w:lineRule="auto"/>
              <w:rPr>
                <w:rFonts w:ascii="Arial" w:hAnsi="Arial" w:cs="Arial"/>
                <w:b/>
                <w:sz w:val="16"/>
                <w:szCs w:val="16"/>
              </w:rPr>
            </w:pPr>
            <w:r w:rsidRPr="00E53486">
              <w:rPr>
                <w:rFonts w:ascii="Arial" w:hAnsi="Arial" w:cs="Arial"/>
                <w:b/>
                <w:sz w:val="16"/>
                <w:szCs w:val="16"/>
              </w:rPr>
              <w:t>Procesos Disciplinarios</w:t>
            </w:r>
          </w:p>
          <w:p w:rsidR="00A97640" w:rsidRPr="00E53486" w:rsidRDefault="00A97640" w:rsidP="00A97640">
            <w:pPr>
              <w:spacing w:after="0" w:line="240" w:lineRule="auto"/>
              <w:rPr>
                <w:rFonts w:ascii="Arial" w:hAnsi="Arial" w:cs="Arial"/>
                <w:sz w:val="16"/>
                <w:szCs w:val="16"/>
              </w:rPr>
            </w:pPr>
            <w:r w:rsidRPr="00E53486">
              <w:rPr>
                <w:rFonts w:ascii="Arial" w:hAnsi="Arial" w:cs="Arial"/>
                <w:sz w:val="16"/>
                <w:szCs w:val="16"/>
              </w:rPr>
              <w:t>Denuncia o queja</w:t>
            </w:r>
          </w:p>
          <w:p w:rsidR="00A97640" w:rsidRPr="00E53486" w:rsidRDefault="00A97640" w:rsidP="00A97640">
            <w:pPr>
              <w:spacing w:after="0" w:line="240" w:lineRule="auto"/>
              <w:rPr>
                <w:rFonts w:ascii="Arial" w:hAnsi="Arial" w:cs="Arial"/>
                <w:sz w:val="16"/>
                <w:szCs w:val="16"/>
              </w:rPr>
            </w:pPr>
            <w:r w:rsidRPr="00E53486">
              <w:rPr>
                <w:rFonts w:ascii="Arial" w:hAnsi="Arial" w:cs="Arial"/>
                <w:sz w:val="16"/>
                <w:szCs w:val="16"/>
              </w:rPr>
              <w:t>Auto de Apertura de indagación preliminar</w:t>
            </w:r>
          </w:p>
          <w:p w:rsidR="00A97640" w:rsidRPr="00E53486" w:rsidRDefault="00A97640" w:rsidP="00A97640">
            <w:pPr>
              <w:spacing w:after="0" w:line="240" w:lineRule="auto"/>
              <w:rPr>
                <w:rFonts w:ascii="Arial" w:hAnsi="Arial" w:cs="Arial"/>
                <w:sz w:val="16"/>
                <w:szCs w:val="16"/>
              </w:rPr>
            </w:pPr>
            <w:r w:rsidRPr="00E53486">
              <w:rPr>
                <w:rFonts w:ascii="Arial" w:hAnsi="Arial" w:cs="Arial"/>
                <w:sz w:val="16"/>
                <w:szCs w:val="16"/>
              </w:rPr>
              <w:t>Notificación del auto apertura de indagación preliminar</w:t>
            </w:r>
          </w:p>
          <w:p w:rsidR="00A97640" w:rsidRPr="00E53486" w:rsidRDefault="00A97640" w:rsidP="00A97640">
            <w:pPr>
              <w:spacing w:after="0" w:line="240" w:lineRule="auto"/>
              <w:rPr>
                <w:rFonts w:ascii="Arial" w:hAnsi="Arial" w:cs="Arial"/>
                <w:sz w:val="16"/>
                <w:szCs w:val="16"/>
              </w:rPr>
            </w:pPr>
            <w:r w:rsidRPr="00E53486">
              <w:rPr>
                <w:rFonts w:ascii="Arial" w:hAnsi="Arial" w:cs="Arial"/>
                <w:sz w:val="16"/>
                <w:szCs w:val="16"/>
              </w:rPr>
              <w:t>Rendición de Versión Libre por el implicado practica de pruebas</w:t>
            </w:r>
          </w:p>
          <w:p w:rsidR="00A97640" w:rsidRPr="00E53486" w:rsidRDefault="00A97640" w:rsidP="00A97640">
            <w:pPr>
              <w:spacing w:after="0" w:line="240" w:lineRule="auto"/>
              <w:rPr>
                <w:rFonts w:ascii="Arial" w:hAnsi="Arial" w:cs="Arial"/>
                <w:sz w:val="16"/>
                <w:szCs w:val="16"/>
              </w:rPr>
            </w:pPr>
            <w:r w:rsidRPr="00E53486">
              <w:rPr>
                <w:rFonts w:ascii="Arial" w:hAnsi="Arial" w:cs="Arial"/>
                <w:sz w:val="16"/>
                <w:szCs w:val="16"/>
              </w:rPr>
              <w:t>Emisión del Auto de Archivo o de Apertura de Investigación Disciplinaria</w:t>
            </w:r>
          </w:p>
          <w:p w:rsidR="00A97640" w:rsidRPr="00E53486" w:rsidRDefault="00A97640" w:rsidP="00A97640">
            <w:pPr>
              <w:spacing w:after="0" w:line="240" w:lineRule="auto"/>
              <w:rPr>
                <w:rFonts w:ascii="Arial" w:hAnsi="Arial" w:cs="Arial"/>
                <w:sz w:val="16"/>
                <w:szCs w:val="16"/>
              </w:rPr>
            </w:pPr>
            <w:r w:rsidRPr="00E53486">
              <w:rPr>
                <w:rFonts w:ascii="Arial" w:hAnsi="Arial" w:cs="Arial"/>
                <w:sz w:val="16"/>
                <w:szCs w:val="16"/>
              </w:rPr>
              <w:t>Auto de Apertura de Investigación disciplinaria</w:t>
            </w:r>
          </w:p>
          <w:p w:rsidR="00A97640" w:rsidRPr="00E53486" w:rsidRDefault="00A97640" w:rsidP="00A97640">
            <w:pPr>
              <w:spacing w:after="0" w:line="240" w:lineRule="auto"/>
              <w:rPr>
                <w:rFonts w:ascii="Arial" w:hAnsi="Arial" w:cs="Arial"/>
                <w:sz w:val="16"/>
                <w:szCs w:val="16"/>
              </w:rPr>
            </w:pPr>
            <w:r w:rsidRPr="00E53486">
              <w:rPr>
                <w:rFonts w:ascii="Arial" w:hAnsi="Arial" w:cs="Arial"/>
                <w:sz w:val="16"/>
                <w:szCs w:val="16"/>
              </w:rPr>
              <w:t>Notificación del auto de apertura de investigación disciplinaria</w:t>
            </w:r>
          </w:p>
          <w:p w:rsidR="00A97640" w:rsidRPr="00E53486" w:rsidRDefault="00A97640" w:rsidP="00A97640">
            <w:pPr>
              <w:spacing w:after="0" w:line="240" w:lineRule="auto"/>
              <w:rPr>
                <w:rFonts w:ascii="Arial" w:hAnsi="Arial" w:cs="Arial"/>
                <w:sz w:val="16"/>
                <w:szCs w:val="16"/>
              </w:rPr>
            </w:pPr>
            <w:r w:rsidRPr="00E53486">
              <w:rPr>
                <w:rFonts w:ascii="Arial" w:hAnsi="Arial" w:cs="Arial"/>
                <w:sz w:val="16"/>
                <w:szCs w:val="16"/>
              </w:rPr>
              <w:t>Versión libre del implicado</w:t>
            </w:r>
          </w:p>
          <w:p w:rsidR="00A97640" w:rsidRPr="00E53486" w:rsidRDefault="00A97640" w:rsidP="00A97640">
            <w:pPr>
              <w:spacing w:after="0" w:line="240" w:lineRule="auto"/>
              <w:rPr>
                <w:rFonts w:ascii="Arial" w:hAnsi="Arial" w:cs="Arial"/>
                <w:sz w:val="16"/>
                <w:szCs w:val="16"/>
              </w:rPr>
            </w:pPr>
            <w:r w:rsidRPr="00E53486">
              <w:rPr>
                <w:rFonts w:ascii="Arial" w:hAnsi="Arial" w:cs="Arial"/>
                <w:sz w:val="16"/>
                <w:szCs w:val="16"/>
              </w:rPr>
              <w:t>Practica de Pruebas</w:t>
            </w:r>
          </w:p>
          <w:p w:rsidR="00A97640" w:rsidRPr="00E53486" w:rsidRDefault="00A97640" w:rsidP="00A97640">
            <w:pPr>
              <w:spacing w:after="0" w:line="240" w:lineRule="auto"/>
              <w:rPr>
                <w:rFonts w:ascii="Arial" w:hAnsi="Arial" w:cs="Arial"/>
                <w:sz w:val="16"/>
                <w:szCs w:val="16"/>
              </w:rPr>
            </w:pPr>
            <w:r w:rsidRPr="00E53486">
              <w:rPr>
                <w:rFonts w:ascii="Arial" w:hAnsi="Arial" w:cs="Arial"/>
                <w:sz w:val="16"/>
                <w:szCs w:val="16"/>
              </w:rPr>
              <w:t>Auto de cargos</w:t>
            </w:r>
          </w:p>
          <w:p w:rsidR="00A97640" w:rsidRPr="00E53486" w:rsidRDefault="00A97640" w:rsidP="00A97640">
            <w:pPr>
              <w:spacing w:after="0" w:line="240" w:lineRule="auto"/>
              <w:rPr>
                <w:rFonts w:ascii="Arial" w:hAnsi="Arial" w:cs="Arial"/>
                <w:sz w:val="16"/>
                <w:szCs w:val="16"/>
              </w:rPr>
            </w:pPr>
            <w:r w:rsidRPr="00E53486">
              <w:rPr>
                <w:rFonts w:ascii="Arial" w:hAnsi="Arial" w:cs="Arial"/>
                <w:sz w:val="16"/>
                <w:szCs w:val="16"/>
              </w:rPr>
              <w:t xml:space="preserve">Descargos </w:t>
            </w:r>
          </w:p>
          <w:p w:rsidR="00A97640" w:rsidRPr="00E53486" w:rsidRDefault="00A97640" w:rsidP="00A97640">
            <w:pPr>
              <w:spacing w:after="0" w:line="240" w:lineRule="auto"/>
              <w:rPr>
                <w:rFonts w:ascii="Arial" w:hAnsi="Arial" w:cs="Arial"/>
                <w:sz w:val="16"/>
                <w:szCs w:val="16"/>
              </w:rPr>
            </w:pPr>
            <w:r w:rsidRPr="00E53486">
              <w:rPr>
                <w:rFonts w:ascii="Arial" w:hAnsi="Arial" w:cs="Arial"/>
                <w:sz w:val="16"/>
                <w:szCs w:val="16"/>
              </w:rPr>
              <w:t xml:space="preserve">Nuevas pruebas </w:t>
            </w:r>
          </w:p>
          <w:p w:rsidR="00A97640" w:rsidRPr="00E53486" w:rsidRDefault="00A97640" w:rsidP="00A97640">
            <w:pPr>
              <w:spacing w:after="0" w:line="240" w:lineRule="auto"/>
              <w:rPr>
                <w:rFonts w:ascii="Arial" w:hAnsi="Arial" w:cs="Arial"/>
                <w:sz w:val="16"/>
                <w:szCs w:val="16"/>
              </w:rPr>
            </w:pPr>
            <w:r w:rsidRPr="00E53486">
              <w:rPr>
                <w:rFonts w:ascii="Arial" w:hAnsi="Arial" w:cs="Arial"/>
                <w:sz w:val="16"/>
                <w:szCs w:val="16"/>
              </w:rPr>
              <w:t>Fallo de Absolución, archivo o sanción</w:t>
            </w:r>
          </w:p>
          <w:p w:rsidR="0056129C" w:rsidRPr="00E53486" w:rsidRDefault="00A97640" w:rsidP="00764459">
            <w:pPr>
              <w:spacing w:after="0" w:line="240" w:lineRule="auto"/>
              <w:rPr>
                <w:rFonts w:ascii="Arial" w:hAnsi="Arial" w:cs="Arial"/>
                <w:sz w:val="16"/>
                <w:szCs w:val="16"/>
              </w:rPr>
            </w:pPr>
            <w:r w:rsidRPr="00E53486">
              <w:rPr>
                <w:rFonts w:ascii="Arial" w:hAnsi="Arial" w:cs="Arial"/>
                <w:sz w:val="16"/>
                <w:szCs w:val="16"/>
              </w:rPr>
              <w:t>Notificación del fallo</w:t>
            </w:r>
          </w:p>
          <w:p w:rsidR="009C6798" w:rsidRPr="00E53486" w:rsidRDefault="009C6798" w:rsidP="009C6798">
            <w:pPr>
              <w:spacing w:after="0" w:line="240" w:lineRule="auto"/>
              <w:rPr>
                <w:rFonts w:ascii="Arial" w:hAnsi="Arial" w:cs="Arial"/>
                <w:sz w:val="16"/>
                <w:szCs w:val="16"/>
              </w:rPr>
            </w:pPr>
            <w:r w:rsidRPr="00E53486">
              <w:rPr>
                <w:rFonts w:ascii="Arial" w:hAnsi="Arial" w:cs="Arial"/>
                <w:sz w:val="16"/>
                <w:szCs w:val="16"/>
              </w:rPr>
              <w:t>Resolución de los recursos</w:t>
            </w:r>
          </w:p>
          <w:p w:rsidR="009C6798" w:rsidRPr="00E53486" w:rsidRDefault="009C6798" w:rsidP="00063B89">
            <w:pPr>
              <w:pStyle w:val="Sinespaciado"/>
              <w:rPr>
                <w:rFonts w:ascii="Arial" w:hAnsi="Arial" w:cs="Arial"/>
                <w:sz w:val="16"/>
                <w:szCs w:val="16"/>
              </w:rPr>
            </w:pPr>
            <w:r w:rsidRPr="00E53486">
              <w:rPr>
                <w:rFonts w:ascii="Arial" w:hAnsi="Arial" w:cs="Arial"/>
                <w:sz w:val="16"/>
                <w:szCs w:val="16"/>
              </w:rPr>
              <w:t>Ejecutoria del fallo</w:t>
            </w:r>
          </w:p>
        </w:tc>
        <w:tc>
          <w:tcPr>
            <w:tcW w:w="1134" w:type="dxa"/>
            <w:tcBorders>
              <w:bottom w:val="single" w:sz="4" w:space="0" w:color="auto"/>
            </w:tcBorders>
          </w:tcPr>
          <w:p w:rsidR="00A97640" w:rsidRPr="00E53486" w:rsidRDefault="00A97640" w:rsidP="00A97640">
            <w:pPr>
              <w:spacing w:after="0" w:line="240" w:lineRule="auto"/>
              <w:jc w:val="center"/>
              <w:rPr>
                <w:rFonts w:ascii="Arial" w:hAnsi="Arial" w:cs="Arial"/>
                <w:sz w:val="16"/>
                <w:szCs w:val="16"/>
              </w:rPr>
            </w:pPr>
          </w:p>
          <w:p w:rsidR="00A97640" w:rsidRPr="00E53486" w:rsidRDefault="00497A42" w:rsidP="00497A42">
            <w:pPr>
              <w:tabs>
                <w:tab w:val="left" w:pos="390"/>
                <w:tab w:val="center" w:pos="459"/>
              </w:tabs>
              <w:rPr>
                <w:rFonts w:ascii="Arial" w:hAnsi="Arial" w:cs="Arial"/>
                <w:sz w:val="16"/>
                <w:szCs w:val="16"/>
              </w:rPr>
            </w:pPr>
            <w:r w:rsidRPr="00E53486">
              <w:rPr>
                <w:rFonts w:ascii="Arial" w:hAnsi="Arial" w:cs="Arial"/>
                <w:sz w:val="16"/>
                <w:szCs w:val="16"/>
              </w:rPr>
              <w:tab/>
            </w:r>
            <w:r w:rsidRPr="00E53486">
              <w:rPr>
                <w:rFonts w:ascii="Arial" w:hAnsi="Arial" w:cs="Arial"/>
                <w:sz w:val="16"/>
                <w:szCs w:val="16"/>
              </w:rPr>
              <w:tab/>
            </w:r>
            <w:r w:rsidR="00A97640" w:rsidRPr="00E53486">
              <w:rPr>
                <w:rFonts w:ascii="Arial" w:hAnsi="Arial" w:cs="Arial"/>
                <w:sz w:val="16"/>
                <w:szCs w:val="16"/>
              </w:rPr>
              <w:t>2</w:t>
            </w:r>
          </w:p>
        </w:tc>
        <w:tc>
          <w:tcPr>
            <w:tcW w:w="1105" w:type="dxa"/>
            <w:tcBorders>
              <w:bottom w:val="single" w:sz="4" w:space="0" w:color="auto"/>
            </w:tcBorders>
          </w:tcPr>
          <w:p w:rsidR="00A97640" w:rsidRPr="00E53486" w:rsidRDefault="00A97640" w:rsidP="00A97640">
            <w:pPr>
              <w:spacing w:after="0" w:line="240" w:lineRule="auto"/>
              <w:jc w:val="center"/>
              <w:rPr>
                <w:rFonts w:ascii="Arial" w:hAnsi="Arial" w:cs="Arial"/>
                <w:sz w:val="16"/>
                <w:szCs w:val="16"/>
              </w:rPr>
            </w:pPr>
          </w:p>
          <w:p w:rsidR="00A97640" w:rsidRPr="00E53486" w:rsidRDefault="006F667C" w:rsidP="00A97640">
            <w:pPr>
              <w:spacing w:after="0" w:line="240" w:lineRule="auto"/>
              <w:jc w:val="center"/>
              <w:rPr>
                <w:rFonts w:ascii="Arial" w:hAnsi="Arial" w:cs="Arial"/>
                <w:sz w:val="16"/>
                <w:szCs w:val="16"/>
              </w:rPr>
            </w:pPr>
            <w:r w:rsidRPr="00E53486">
              <w:rPr>
                <w:rFonts w:ascii="Arial" w:hAnsi="Arial" w:cs="Arial"/>
                <w:sz w:val="16"/>
                <w:szCs w:val="16"/>
              </w:rPr>
              <w:t>8</w:t>
            </w:r>
          </w:p>
          <w:p w:rsidR="00A97640" w:rsidRPr="00E53486" w:rsidRDefault="00A97640" w:rsidP="00A97640">
            <w:pPr>
              <w:spacing w:after="0" w:line="240" w:lineRule="auto"/>
              <w:jc w:val="center"/>
              <w:rPr>
                <w:rFonts w:ascii="Arial" w:hAnsi="Arial" w:cs="Arial"/>
                <w:sz w:val="16"/>
                <w:szCs w:val="16"/>
              </w:rPr>
            </w:pPr>
          </w:p>
          <w:p w:rsidR="00A97640" w:rsidRPr="00E53486" w:rsidRDefault="00A97640" w:rsidP="00A97640">
            <w:pPr>
              <w:spacing w:after="0" w:line="240" w:lineRule="auto"/>
              <w:jc w:val="center"/>
              <w:rPr>
                <w:rFonts w:ascii="Arial" w:hAnsi="Arial" w:cs="Arial"/>
                <w:sz w:val="16"/>
                <w:szCs w:val="16"/>
              </w:rPr>
            </w:pPr>
          </w:p>
          <w:p w:rsidR="00A97640" w:rsidRPr="00E53486" w:rsidRDefault="00A97640" w:rsidP="00A97640">
            <w:pPr>
              <w:spacing w:after="0" w:line="240" w:lineRule="auto"/>
              <w:jc w:val="center"/>
              <w:rPr>
                <w:rFonts w:ascii="Arial" w:hAnsi="Arial" w:cs="Arial"/>
                <w:sz w:val="16"/>
                <w:szCs w:val="16"/>
              </w:rPr>
            </w:pPr>
          </w:p>
        </w:tc>
        <w:tc>
          <w:tcPr>
            <w:tcW w:w="567" w:type="dxa"/>
            <w:tcBorders>
              <w:bottom w:val="single" w:sz="4" w:space="0" w:color="auto"/>
            </w:tcBorders>
          </w:tcPr>
          <w:p w:rsidR="00A97640" w:rsidRPr="00E53486" w:rsidRDefault="00A97640" w:rsidP="00A97640">
            <w:pPr>
              <w:spacing w:after="0" w:line="240" w:lineRule="auto"/>
              <w:jc w:val="center"/>
              <w:rPr>
                <w:rFonts w:ascii="Arial" w:hAnsi="Arial" w:cs="Arial"/>
                <w:sz w:val="16"/>
                <w:szCs w:val="16"/>
              </w:rPr>
            </w:pPr>
          </w:p>
        </w:tc>
        <w:tc>
          <w:tcPr>
            <w:tcW w:w="425" w:type="dxa"/>
            <w:tcBorders>
              <w:bottom w:val="single" w:sz="4" w:space="0" w:color="auto"/>
            </w:tcBorders>
          </w:tcPr>
          <w:p w:rsidR="00A97640" w:rsidRPr="00E53486" w:rsidRDefault="00A97640" w:rsidP="00A97640">
            <w:pPr>
              <w:spacing w:after="0" w:line="240" w:lineRule="auto"/>
              <w:jc w:val="center"/>
              <w:rPr>
                <w:rFonts w:ascii="Arial" w:hAnsi="Arial" w:cs="Arial"/>
                <w:sz w:val="16"/>
                <w:szCs w:val="16"/>
              </w:rPr>
            </w:pPr>
          </w:p>
          <w:p w:rsidR="00A97640" w:rsidRPr="00E53486" w:rsidRDefault="00A97640" w:rsidP="00A97640">
            <w:pPr>
              <w:spacing w:after="0" w:line="240" w:lineRule="auto"/>
              <w:jc w:val="center"/>
              <w:rPr>
                <w:rFonts w:ascii="Arial" w:hAnsi="Arial" w:cs="Arial"/>
                <w:sz w:val="16"/>
                <w:szCs w:val="16"/>
              </w:rPr>
            </w:pPr>
          </w:p>
        </w:tc>
        <w:tc>
          <w:tcPr>
            <w:tcW w:w="425" w:type="dxa"/>
            <w:tcBorders>
              <w:bottom w:val="single" w:sz="4" w:space="0" w:color="auto"/>
            </w:tcBorders>
          </w:tcPr>
          <w:p w:rsidR="00A97640" w:rsidRPr="00E53486" w:rsidRDefault="00A97640" w:rsidP="00A97640">
            <w:pPr>
              <w:spacing w:after="0" w:line="240" w:lineRule="auto"/>
              <w:jc w:val="center"/>
              <w:rPr>
                <w:rFonts w:ascii="Arial" w:hAnsi="Arial" w:cs="Arial"/>
                <w:sz w:val="16"/>
                <w:szCs w:val="16"/>
              </w:rPr>
            </w:pPr>
          </w:p>
        </w:tc>
        <w:tc>
          <w:tcPr>
            <w:tcW w:w="426" w:type="dxa"/>
            <w:tcBorders>
              <w:bottom w:val="single" w:sz="4" w:space="0" w:color="auto"/>
            </w:tcBorders>
          </w:tcPr>
          <w:p w:rsidR="003856CB" w:rsidRPr="00E53486" w:rsidRDefault="003856CB" w:rsidP="00A97640">
            <w:pPr>
              <w:spacing w:after="0" w:line="240" w:lineRule="auto"/>
              <w:jc w:val="center"/>
              <w:rPr>
                <w:rFonts w:ascii="Arial" w:hAnsi="Arial" w:cs="Arial"/>
                <w:sz w:val="16"/>
                <w:szCs w:val="16"/>
              </w:rPr>
            </w:pPr>
          </w:p>
          <w:p w:rsidR="00A97640" w:rsidRPr="00E53486" w:rsidRDefault="003856CB" w:rsidP="00A97640">
            <w:pPr>
              <w:spacing w:after="0" w:line="240" w:lineRule="auto"/>
              <w:jc w:val="center"/>
              <w:rPr>
                <w:rFonts w:ascii="Arial" w:hAnsi="Arial" w:cs="Arial"/>
                <w:sz w:val="16"/>
                <w:szCs w:val="16"/>
              </w:rPr>
            </w:pPr>
            <w:r w:rsidRPr="00E53486">
              <w:rPr>
                <w:rFonts w:ascii="Arial" w:hAnsi="Arial" w:cs="Arial"/>
                <w:sz w:val="16"/>
                <w:szCs w:val="16"/>
              </w:rPr>
              <w:t>X</w:t>
            </w:r>
          </w:p>
        </w:tc>
        <w:tc>
          <w:tcPr>
            <w:tcW w:w="7825" w:type="dxa"/>
            <w:tcBorders>
              <w:bottom w:val="single" w:sz="4" w:space="0" w:color="auto"/>
            </w:tcBorders>
            <w:shd w:val="clear" w:color="auto" w:fill="auto"/>
          </w:tcPr>
          <w:p w:rsidR="00504693" w:rsidRPr="00E53486" w:rsidRDefault="00434890" w:rsidP="00504693">
            <w:pPr>
              <w:spacing w:after="0" w:line="240" w:lineRule="auto"/>
              <w:jc w:val="both"/>
              <w:rPr>
                <w:rFonts w:ascii="Arial" w:hAnsi="Arial" w:cs="Arial"/>
                <w:sz w:val="16"/>
                <w:szCs w:val="16"/>
              </w:rPr>
            </w:pPr>
            <w:r w:rsidRPr="00E53486">
              <w:rPr>
                <w:rFonts w:ascii="Arial" w:hAnsi="Arial" w:cs="Arial"/>
                <w:sz w:val="16"/>
                <w:szCs w:val="16"/>
              </w:rPr>
              <w:t>La Ley 734 de 2002 expide el Código Disciplinario Único</w:t>
            </w:r>
            <w:r w:rsidR="001F488A" w:rsidRPr="00E53486">
              <w:rPr>
                <w:rFonts w:ascii="Arial" w:hAnsi="Arial" w:cs="Arial"/>
                <w:sz w:val="16"/>
                <w:szCs w:val="16"/>
              </w:rPr>
              <w:t xml:space="preserve">, en su artículo 32 describe el término de prescripción de la sanción disciplinaria </w:t>
            </w:r>
            <w:r w:rsidR="000561C6" w:rsidRPr="00E53486">
              <w:rPr>
                <w:rFonts w:ascii="Arial" w:hAnsi="Arial" w:cs="Arial"/>
                <w:sz w:val="16"/>
                <w:szCs w:val="16"/>
              </w:rPr>
              <w:t xml:space="preserve">“La sanción disciplinaria prescribe en un término de (5) años contados a partir de </w:t>
            </w:r>
            <w:r w:rsidR="00F019A0" w:rsidRPr="00E53486">
              <w:rPr>
                <w:rFonts w:ascii="Arial" w:hAnsi="Arial" w:cs="Arial"/>
                <w:sz w:val="16"/>
                <w:szCs w:val="16"/>
              </w:rPr>
              <w:t>ejecutoria</w:t>
            </w:r>
            <w:r w:rsidR="000561C6" w:rsidRPr="00E53486">
              <w:rPr>
                <w:rFonts w:ascii="Arial" w:hAnsi="Arial" w:cs="Arial"/>
                <w:sz w:val="16"/>
                <w:szCs w:val="16"/>
              </w:rPr>
              <w:t xml:space="preserve"> del fallo”, La Ley 1474 de 2011</w:t>
            </w:r>
            <w:r w:rsidR="00763AF9" w:rsidRPr="00E53486">
              <w:rPr>
                <w:rFonts w:ascii="Arial" w:hAnsi="Arial" w:cs="Arial"/>
                <w:sz w:val="16"/>
                <w:szCs w:val="16"/>
              </w:rPr>
              <w:t xml:space="preserve"> </w:t>
            </w:r>
            <w:r w:rsidR="00763AF9" w:rsidRPr="00E53486">
              <w:rPr>
                <w:rFonts w:ascii="Arial" w:hAnsi="Arial" w:cs="Arial"/>
                <w:bCs/>
                <w:iCs/>
                <w:color w:val="333333"/>
                <w:sz w:val="16"/>
                <w:szCs w:val="16"/>
                <w:shd w:val="clear" w:color="auto" w:fill="FFFFFF"/>
              </w:rPr>
              <w:t>Por la cual se dictan normas orientadas a fortalecer los mecanismos de prevención, investigación y sanción de actos de corrupción y la efectividad del control de la gestión pública, en su artículo 132 habla sobre la caducidad y prescripción de la acción disciplinaria “La acción disciplinaria caducará si transcurridos (5) cinco años, desde la ocurrencia de la falta, no se ha proferido auto de apertura de investigación disciplinaria, este término empezará a contarse para las faltas instantáneas desde el día de su consumación, para las de carácter permanente  o continuado desde la realización del último hecho</w:t>
            </w:r>
            <w:r w:rsidR="00F019A0" w:rsidRPr="00E53486">
              <w:rPr>
                <w:rFonts w:ascii="Arial" w:hAnsi="Arial" w:cs="Arial"/>
                <w:bCs/>
                <w:iCs/>
                <w:color w:val="333333"/>
                <w:sz w:val="16"/>
                <w:szCs w:val="16"/>
                <w:shd w:val="clear" w:color="auto" w:fill="FFFFFF"/>
              </w:rPr>
              <w:t xml:space="preserve"> o acto y para las omisivas cuando haya cesado el deber de actuar. La acción disciplinaria prescribirá en (5) cinco años contados a partir del auto de apertura de la acción disciplinaria, cunado fueran varias las conductas juzgadas en un mismo proceso la prescripción se cumple independientemente para cada una de ellas.  </w:t>
            </w:r>
            <w:r w:rsidR="00763AF9" w:rsidRPr="00E53486">
              <w:rPr>
                <w:rFonts w:ascii="Arial" w:hAnsi="Arial" w:cs="Arial"/>
                <w:bCs/>
                <w:iCs/>
                <w:color w:val="333333"/>
                <w:sz w:val="16"/>
                <w:szCs w:val="16"/>
                <w:shd w:val="clear" w:color="auto" w:fill="FFFFFF"/>
              </w:rPr>
              <w:t xml:space="preserve"> </w:t>
            </w:r>
            <w:r w:rsidR="00763AF9" w:rsidRPr="00E53486">
              <w:rPr>
                <w:rFonts w:ascii="Arial" w:hAnsi="Arial" w:cs="Arial"/>
                <w:b/>
                <w:bCs/>
                <w:i/>
                <w:iCs/>
                <w:color w:val="333333"/>
                <w:sz w:val="16"/>
                <w:szCs w:val="16"/>
                <w:shd w:val="clear" w:color="auto" w:fill="FFFFFF"/>
              </w:rPr>
              <w:t xml:space="preserve"> </w:t>
            </w:r>
            <w:r w:rsidR="00AA5B85" w:rsidRPr="00E53486">
              <w:rPr>
                <w:rFonts w:ascii="Arial" w:hAnsi="Arial" w:cs="Arial"/>
                <w:sz w:val="16"/>
                <w:szCs w:val="16"/>
              </w:rPr>
              <w:t>Finalizado el proceso, e</w:t>
            </w:r>
            <w:r w:rsidR="00CF7C60" w:rsidRPr="00E53486">
              <w:rPr>
                <w:rFonts w:ascii="Arial" w:hAnsi="Arial" w:cs="Arial"/>
                <w:sz w:val="16"/>
                <w:szCs w:val="16"/>
              </w:rPr>
              <w:t>l tiempo de retención</w:t>
            </w:r>
            <w:r w:rsidR="00AA5B85" w:rsidRPr="00E53486">
              <w:rPr>
                <w:rFonts w:ascii="Arial" w:hAnsi="Arial" w:cs="Arial"/>
                <w:sz w:val="16"/>
                <w:szCs w:val="16"/>
              </w:rPr>
              <w:t xml:space="preserve"> sea de dos (2) años</w:t>
            </w:r>
            <w:r w:rsidR="008408F6" w:rsidRPr="00E53486">
              <w:rPr>
                <w:rFonts w:ascii="Arial" w:hAnsi="Arial" w:cs="Arial"/>
                <w:sz w:val="16"/>
                <w:szCs w:val="16"/>
              </w:rPr>
              <w:t xml:space="preserve"> en el archivo de gestión y ocho (8</w:t>
            </w:r>
            <w:r w:rsidR="00AA5B85" w:rsidRPr="00E53486">
              <w:rPr>
                <w:rFonts w:ascii="Arial" w:hAnsi="Arial" w:cs="Arial"/>
                <w:sz w:val="16"/>
                <w:szCs w:val="16"/>
              </w:rPr>
              <w:t xml:space="preserve">) años en el archivo central, contados </w:t>
            </w:r>
            <w:r w:rsidR="00CF7C60" w:rsidRPr="00E53486">
              <w:rPr>
                <w:rFonts w:ascii="Arial" w:hAnsi="Arial" w:cs="Arial"/>
                <w:sz w:val="16"/>
                <w:szCs w:val="16"/>
              </w:rPr>
              <w:t>a partir de la constancia de ejecutoria del auto</w:t>
            </w:r>
            <w:r w:rsidR="008408F6" w:rsidRPr="00E53486">
              <w:rPr>
                <w:rFonts w:ascii="Arial" w:hAnsi="Arial" w:cs="Arial"/>
                <w:sz w:val="16"/>
                <w:szCs w:val="16"/>
              </w:rPr>
              <w:t xml:space="preserve"> de archivo o fallo definitivo. Finalizado este tiempo primario de retención </w:t>
            </w:r>
            <w:r w:rsidR="00DB3768" w:rsidRPr="00E53486">
              <w:rPr>
                <w:rFonts w:ascii="Arial" w:hAnsi="Arial" w:cs="Arial"/>
                <w:sz w:val="16"/>
                <w:szCs w:val="16"/>
              </w:rPr>
              <w:t>global de diez (10</w:t>
            </w:r>
            <w:r w:rsidR="008408F6" w:rsidRPr="00E53486">
              <w:rPr>
                <w:rFonts w:ascii="Arial" w:hAnsi="Arial" w:cs="Arial"/>
                <w:sz w:val="16"/>
                <w:szCs w:val="16"/>
              </w:rPr>
              <w:t>) años,</w:t>
            </w:r>
            <w:r w:rsidR="007A3FA6" w:rsidRPr="00E53486">
              <w:rPr>
                <w:rFonts w:ascii="Arial" w:hAnsi="Arial" w:cs="Arial"/>
                <w:sz w:val="16"/>
                <w:szCs w:val="16"/>
              </w:rPr>
              <w:t xml:space="preserve"> se llevará a cabo una </w:t>
            </w:r>
            <w:r w:rsidR="0028395A" w:rsidRPr="00E53486">
              <w:rPr>
                <w:rFonts w:ascii="Arial" w:hAnsi="Arial" w:cs="Arial"/>
                <w:sz w:val="16"/>
                <w:szCs w:val="16"/>
              </w:rPr>
              <w:t xml:space="preserve">selección documental teniendo en cuenta criterios cuantitativos y cualitativos, </w:t>
            </w:r>
            <w:r w:rsidR="00504693" w:rsidRPr="00E53486">
              <w:rPr>
                <w:rFonts w:ascii="Arial" w:hAnsi="Arial" w:cs="Arial"/>
                <w:sz w:val="16"/>
                <w:szCs w:val="16"/>
              </w:rPr>
              <w:t>seleccionando una muestra del 4% así:</w:t>
            </w:r>
          </w:p>
          <w:p w:rsidR="0028395A" w:rsidRPr="00E53486" w:rsidRDefault="002B142F" w:rsidP="0028395A">
            <w:pPr>
              <w:spacing w:after="0" w:line="240" w:lineRule="auto"/>
              <w:jc w:val="both"/>
              <w:rPr>
                <w:rFonts w:ascii="Arial" w:hAnsi="Arial" w:cs="Arial"/>
                <w:sz w:val="16"/>
                <w:szCs w:val="16"/>
              </w:rPr>
            </w:pPr>
            <w:r w:rsidRPr="00E53486">
              <w:rPr>
                <w:rFonts w:ascii="Arial" w:hAnsi="Arial" w:cs="Arial"/>
                <w:sz w:val="16"/>
                <w:szCs w:val="16"/>
              </w:rPr>
              <w:t>2</w:t>
            </w:r>
            <w:r w:rsidR="0028395A" w:rsidRPr="00E53486">
              <w:rPr>
                <w:rFonts w:ascii="Arial" w:hAnsi="Arial" w:cs="Arial"/>
                <w:sz w:val="16"/>
                <w:szCs w:val="16"/>
              </w:rPr>
              <w:t>% Impacto del proceso en la entidad</w:t>
            </w:r>
            <w:r w:rsidRPr="00E53486">
              <w:rPr>
                <w:rFonts w:ascii="Arial" w:hAnsi="Arial" w:cs="Arial"/>
                <w:sz w:val="16"/>
                <w:szCs w:val="16"/>
              </w:rPr>
              <w:t>:</w:t>
            </w:r>
          </w:p>
          <w:p w:rsidR="002B142F" w:rsidRPr="00E53486" w:rsidRDefault="00031558" w:rsidP="002B142F">
            <w:pPr>
              <w:pStyle w:val="Prrafodelista"/>
              <w:numPr>
                <w:ilvl w:val="0"/>
                <w:numId w:val="1"/>
              </w:numPr>
              <w:spacing w:after="0" w:line="240" w:lineRule="auto"/>
              <w:jc w:val="both"/>
              <w:rPr>
                <w:rFonts w:ascii="Arial" w:hAnsi="Arial" w:cs="Arial"/>
                <w:sz w:val="16"/>
                <w:szCs w:val="16"/>
              </w:rPr>
            </w:pPr>
            <w:r w:rsidRPr="00E53486">
              <w:rPr>
                <w:rFonts w:ascii="Arial" w:hAnsi="Arial" w:cs="Arial"/>
                <w:sz w:val="16"/>
                <w:szCs w:val="16"/>
              </w:rPr>
              <w:t xml:space="preserve">Privilegiando </w:t>
            </w:r>
            <w:r w:rsidR="002B142F" w:rsidRPr="00E53486">
              <w:rPr>
                <w:rFonts w:ascii="Arial" w:hAnsi="Arial" w:cs="Arial"/>
                <w:sz w:val="16"/>
                <w:szCs w:val="16"/>
              </w:rPr>
              <w:t xml:space="preserve">Los Procesos Disciplinarios que </w:t>
            </w:r>
            <w:r w:rsidR="00D643A5" w:rsidRPr="00E53486">
              <w:rPr>
                <w:rFonts w:ascii="Arial" w:hAnsi="Arial" w:cs="Arial"/>
                <w:sz w:val="16"/>
                <w:szCs w:val="16"/>
              </w:rPr>
              <w:t xml:space="preserve">se </w:t>
            </w:r>
            <w:r w:rsidR="002B142F" w:rsidRPr="00E53486">
              <w:rPr>
                <w:rFonts w:ascii="Arial" w:hAnsi="Arial" w:cs="Arial"/>
                <w:sz w:val="16"/>
                <w:szCs w:val="16"/>
              </w:rPr>
              <w:t>haya</w:t>
            </w:r>
            <w:r w:rsidR="00D643A5" w:rsidRPr="00E53486">
              <w:rPr>
                <w:rFonts w:ascii="Arial" w:hAnsi="Arial" w:cs="Arial"/>
                <w:sz w:val="16"/>
                <w:szCs w:val="16"/>
              </w:rPr>
              <w:t>n interpuesto</w:t>
            </w:r>
            <w:r w:rsidR="002B142F" w:rsidRPr="00E53486">
              <w:rPr>
                <w:rFonts w:ascii="Arial" w:hAnsi="Arial" w:cs="Arial"/>
                <w:sz w:val="16"/>
                <w:szCs w:val="16"/>
              </w:rPr>
              <w:t xml:space="preserve"> contra los funcionarios de cargos directivos y responsables de los procesos de prestación de servicios. </w:t>
            </w:r>
          </w:p>
          <w:p w:rsidR="0028395A" w:rsidRPr="00E53486" w:rsidRDefault="00516742" w:rsidP="0028395A">
            <w:pPr>
              <w:spacing w:after="0" w:line="240" w:lineRule="auto"/>
              <w:jc w:val="both"/>
              <w:rPr>
                <w:rFonts w:ascii="Arial" w:hAnsi="Arial" w:cs="Arial"/>
                <w:sz w:val="16"/>
                <w:szCs w:val="16"/>
              </w:rPr>
            </w:pPr>
            <w:r w:rsidRPr="00E53486">
              <w:rPr>
                <w:rFonts w:ascii="Arial" w:hAnsi="Arial" w:cs="Arial"/>
                <w:sz w:val="16"/>
                <w:szCs w:val="16"/>
              </w:rPr>
              <w:t>2</w:t>
            </w:r>
            <w:r w:rsidR="0028395A" w:rsidRPr="00E53486">
              <w:rPr>
                <w:rFonts w:ascii="Arial" w:hAnsi="Arial" w:cs="Arial"/>
                <w:sz w:val="16"/>
                <w:szCs w:val="16"/>
              </w:rPr>
              <w:t>% Instancias judiciales</w:t>
            </w:r>
            <w:r w:rsidR="002B142F" w:rsidRPr="00E53486">
              <w:rPr>
                <w:rFonts w:ascii="Arial" w:hAnsi="Arial" w:cs="Arial"/>
                <w:sz w:val="16"/>
                <w:szCs w:val="16"/>
              </w:rPr>
              <w:t>:</w:t>
            </w:r>
          </w:p>
          <w:p w:rsidR="002B142F" w:rsidRPr="00E53486" w:rsidRDefault="00031558" w:rsidP="002B142F">
            <w:pPr>
              <w:pStyle w:val="Prrafodelista"/>
              <w:numPr>
                <w:ilvl w:val="0"/>
                <w:numId w:val="1"/>
              </w:numPr>
              <w:spacing w:after="0" w:line="240" w:lineRule="auto"/>
              <w:jc w:val="both"/>
              <w:rPr>
                <w:rFonts w:ascii="Arial" w:hAnsi="Arial" w:cs="Arial"/>
                <w:sz w:val="16"/>
                <w:szCs w:val="16"/>
              </w:rPr>
            </w:pPr>
            <w:r w:rsidRPr="00E53486">
              <w:rPr>
                <w:rFonts w:ascii="Arial" w:hAnsi="Arial" w:cs="Arial"/>
                <w:sz w:val="16"/>
                <w:szCs w:val="16"/>
              </w:rPr>
              <w:t xml:space="preserve">Privilegiando </w:t>
            </w:r>
            <w:r w:rsidR="00145E25" w:rsidRPr="00E53486">
              <w:rPr>
                <w:rFonts w:ascii="Arial" w:hAnsi="Arial" w:cs="Arial"/>
                <w:sz w:val="16"/>
                <w:szCs w:val="16"/>
              </w:rPr>
              <w:t>Los Procesos Disciplinarios</w:t>
            </w:r>
            <w:r w:rsidR="00963236" w:rsidRPr="00E53486">
              <w:rPr>
                <w:rFonts w:ascii="Arial" w:hAnsi="Arial" w:cs="Arial"/>
                <w:sz w:val="16"/>
                <w:szCs w:val="16"/>
              </w:rPr>
              <w:t xml:space="preserve"> que hayan sido objeto de demanda ante </w:t>
            </w:r>
            <w:r w:rsidR="00516742" w:rsidRPr="00E53486">
              <w:rPr>
                <w:rFonts w:ascii="Arial" w:hAnsi="Arial" w:cs="Arial"/>
                <w:sz w:val="16"/>
                <w:szCs w:val="16"/>
              </w:rPr>
              <w:t xml:space="preserve">la Jurisdicción Contenciosa Administrativa </w:t>
            </w:r>
          </w:p>
          <w:p w:rsidR="00CF7C60" w:rsidRPr="00E53486" w:rsidRDefault="0028395A" w:rsidP="00B26816">
            <w:pPr>
              <w:pStyle w:val="Sinespaciado"/>
              <w:jc w:val="both"/>
              <w:rPr>
                <w:rFonts w:ascii="Arial" w:hAnsi="Arial" w:cs="Arial"/>
                <w:color w:val="000000" w:themeColor="text1"/>
                <w:sz w:val="16"/>
                <w:szCs w:val="16"/>
              </w:rPr>
            </w:pPr>
            <w:r w:rsidRPr="00E53486">
              <w:rPr>
                <w:rFonts w:ascii="Arial" w:hAnsi="Arial" w:cs="Arial"/>
                <w:sz w:val="16"/>
                <w:szCs w:val="16"/>
              </w:rPr>
              <w:t>La documentación seleccionada</w:t>
            </w:r>
            <w:r w:rsidR="00094D19" w:rsidRPr="00E53486">
              <w:rPr>
                <w:rFonts w:ascii="Arial" w:hAnsi="Arial" w:cs="Arial"/>
                <w:sz w:val="16"/>
                <w:szCs w:val="16"/>
              </w:rPr>
              <w:t xml:space="preserve"> </w:t>
            </w:r>
            <w:r w:rsidR="00021B7D" w:rsidRPr="00E53486">
              <w:rPr>
                <w:rFonts w:ascii="Arial" w:hAnsi="Arial" w:cs="Arial"/>
                <w:sz w:val="16"/>
                <w:szCs w:val="16"/>
              </w:rPr>
              <w:t xml:space="preserve">será transferida al Archivo Histórico del Hospital Civil de Ipiales E.S.E en cumplimiento de los lineamientos generales establecidos en el artículo 2.8.2.9.6 del Decreto 1080 (mayo 26) de 2015, cumpliendo con los criterios de organización archivística, siguiendo el principio de procedencia, orden original, descripción e integridad de los fondos. La demás documentación que no </w:t>
            </w:r>
            <w:r w:rsidR="00434890" w:rsidRPr="00E53486">
              <w:rPr>
                <w:rFonts w:ascii="Arial" w:hAnsi="Arial" w:cs="Arial"/>
                <w:sz w:val="16"/>
                <w:szCs w:val="16"/>
              </w:rPr>
              <w:t xml:space="preserve">fue seleccionada se eliminará una vez se cumpla el tiempo de retención en Archivo Central, porque es responsabilidad del juzgado pertinente conservar dichos expedientes </w:t>
            </w:r>
          </w:p>
        </w:tc>
      </w:tr>
    </w:tbl>
    <w:p w:rsidR="005B3C4A" w:rsidRDefault="005B3C4A" w:rsidP="005B3C4A">
      <w:pPr>
        <w:pStyle w:val="Sinespaciado"/>
      </w:pPr>
    </w:p>
    <w:p w:rsidR="009C6798" w:rsidRDefault="009C6798" w:rsidP="005B3C4A">
      <w:pPr>
        <w:pStyle w:val="Sinespaciado"/>
        <w:rPr>
          <w:rFonts w:ascii="Arial Black" w:hAnsi="Arial Black"/>
          <w:b/>
          <w:sz w:val="18"/>
          <w:szCs w:val="18"/>
        </w:rPr>
      </w:pPr>
    </w:p>
    <w:p w:rsidR="009C6798" w:rsidRDefault="009C6798" w:rsidP="005B3C4A">
      <w:pPr>
        <w:pStyle w:val="Sinespaciado"/>
        <w:rPr>
          <w:rFonts w:ascii="Arial Black" w:hAnsi="Arial Black"/>
          <w:b/>
          <w:sz w:val="18"/>
          <w:szCs w:val="18"/>
        </w:rPr>
      </w:pPr>
    </w:p>
    <w:p w:rsidR="009C6798" w:rsidRDefault="009C6798" w:rsidP="005B3C4A">
      <w:pPr>
        <w:pStyle w:val="Sinespaciado"/>
        <w:rPr>
          <w:rFonts w:ascii="Arial Black" w:hAnsi="Arial Black"/>
          <w:b/>
          <w:sz w:val="18"/>
          <w:szCs w:val="18"/>
        </w:rPr>
      </w:pPr>
    </w:p>
    <w:p w:rsidR="00764459" w:rsidRDefault="00764459" w:rsidP="00764459">
      <w:pPr>
        <w:pStyle w:val="Sinespaciado"/>
        <w:rPr>
          <w:rFonts w:ascii="Arial Black" w:hAnsi="Arial Black"/>
          <w:b/>
          <w:sz w:val="18"/>
          <w:szCs w:val="18"/>
        </w:rPr>
      </w:pPr>
    </w:p>
    <w:p w:rsidR="00764459" w:rsidRDefault="00E53486" w:rsidP="00E53486">
      <w:pPr>
        <w:jc w:val="right"/>
      </w:pPr>
      <w:r>
        <w:rPr>
          <w:rFonts w:ascii="Arial Black" w:hAnsi="Arial Black"/>
          <w:b/>
          <w:sz w:val="18"/>
          <w:szCs w:val="18"/>
        </w:rPr>
        <w:t>HOJA: 2 DE: 2</w:t>
      </w:r>
    </w:p>
    <w:p w:rsidR="00E53486" w:rsidRDefault="00E53486" w:rsidP="00372BC5"/>
    <w:p w:rsidR="00E53486" w:rsidRDefault="00E53486" w:rsidP="00372BC5"/>
    <w:p w:rsidR="00E53486" w:rsidRDefault="00E53486" w:rsidP="00372BC5"/>
    <w:p w:rsidR="00372BC5" w:rsidRDefault="00372BC5" w:rsidP="00372BC5"/>
    <w:tbl>
      <w:tblPr>
        <w:tblW w:w="15737" w:type="dxa"/>
        <w:tblInd w:w="1063" w:type="dxa"/>
        <w:tblCellMar>
          <w:left w:w="70" w:type="dxa"/>
          <w:right w:w="70" w:type="dxa"/>
        </w:tblCellMar>
        <w:tblLook w:val="04A0" w:firstRow="1" w:lastRow="0" w:firstColumn="1" w:lastColumn="0" w:noHBand="0" w:noVBand="1"/>
      </w:tblPr>
      <w:tblGrid>
        <w:gridCol w:w="3147"/>
        <w:gridCol w:w="251"/>
        <w:gridCol w:w="347"/>
        <w:gridCol w:w="2698"/>
        <w:gridCol w:w="2638"/>
        <w:gridCol w:w="511"/>
        <w:gridCol w:w="6145"/>
      </w:tblGrid>
      <w:tr w:rsidR="0083499E" w:rsidRPr="009371EF" w:rsidTr="00E53EDA">
        <w:trPr>
          <w:trHeight w:val="409"/>
        </w:trPr>
        <w:tc>
          <w:tcPr>
            <w:tcW w:w="3147" w:type="dxa"/>
            <w:shd w:val="clear" w:color="000000" w:fill="FFFFFF"/>
            <w:noWrap/>
            <w:vAlign w:val="bottom"/>
            <w:hideMark/>
          </w:tcPr>
          <w:p w:rsidR="0083499E" w:rsidRPr="005C5711" w:rsidRDefault="0083499E" w:rsidP="00E53EDA">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CONVENCIONES:</w:t>
            </w:r>
            <w:r w:rsidRPr="009371EF">
              <w:rPr>
                <w:rFonts w:ascii="Arial" w:eastAsia="Times New Roman" w:hAnsi="Arial" w:cs="Arial"/>
                <w:color w:val="000000" w:themeColor="text1"/>
                <w:sz w:val="24"/>
                <w:szCs w:val="24"/>
                <w:lang w:val="es-ES" w:eastAsia="es-ES"/>
              </w:rPr>
              <w:t> </w:t>
            </w:r>
          </w:p>
        </w:tc>
        <w:tc>
          <w:tcPr>
            <w:tcW w:w="251" w:type="dxa"/>
            <w:shd w:val="clear" w:color="000000" w:fill="FFFFFF"/>
          </w:tcPr>
          <w:p w:rsidR="0083499E" w:rsidRPr="005C5711" w:rsidRDefault="0083499E" w:rsidP="00E53EDA">
            <w:pPr>
              <w:spacing w:after="0" w:line="240" w:lineRule="auto"/>
              <w:rPr>
                <w:rFonts w:ascii="Arial" w:eastAsia="Times New Roman" w:hAnsi="Arial" w:cs="Arial"/>
                <w:b/>
                <w:bCs/>
                <w:color w:val="000000" w:themeColor="text1"/>
                <w:sz w:val="24"/>
                <w:szCs w:val="24"/>
                <w:lang w:val="es-ES" w:eastAsia="es-ES"/>
              </w:rPr>
            </w:pPr>
          </w:p>
        </w:tc>
        <w:tc>
          <w:tcPr>
            <w:tcW w:w="5683" w:type="dxa"/>
            <w:gridSpan w:val="3"/>
            <w:shd w:val="clear" w:color="000000" w:fill="FFFFFF"/>
            <w:vAlign w:val="bottom"/>
          </w:tcPr>
          <w:p w:rsidR="0083499E" w:rsidRPr="005C5711" w:rsidRDefault="0083499E" w:rsidP="00E53EDA">
            <w:pPr>
              <w:spacing w:after="0" w:line="240" w:lineRule="auto"/>
              <w:rPr>
                <w:rFonts w:ascii="Arial" w:eastAsia="Times New Roman" w:hAnsi="Arial" w:cs="Arial"/>
                <w:b/>
                <w:bCs/>
                <w:color w:val="000000" w:themeColor="text1"/>
                <w:sz w:val="24"/>
                <w:szCs w:val="24"/>
                <w:lang w:val="es-ES" w:eastAsia="es-ES"/>
              </w:rPr>
            </w:pPr>
          </w:p>
        </w:tc>
        <w:tc>
          <w:tcPr>
            <w:tcW w:w="511" w:type="dxa"/>
            <w:shd w:val="clear" w:color="000000" w:fill="FFFFFF"/>
            <w:vAlign w:val="bottom"/>
          </w:tcPr>
          <w:p w:rsidR="0083499E" w:rsidRPr="005C5711" w:rsidRDefault="0083499E" w:rsidP="00E53EDA">
            <w:pPr>
              <w:spacing w:after="0" w:line="240" w:lineRule="auto"/>
              <w:rPr>
                <w:rFonts w:ascii="Arial" w:eastAsia="Times New Roman" w:hAnsi="Arial" w:cs="Arial"/>
                <w:b/>
                <w:bCs/>
                <w:color w:val="000000" w:themeColor="text1"/>
                <w:sz w:val="24"/>
                <w:szCs w:val="24"/>
                <w:lang w:val="es-ES" w:eastAsia="es-ES"/>
              </w:rPr>
            </w:pPr>
          </w:p>
        </w:tc>
        <w:tc>
          <w:tcPr>
            <w:tcW w:w="6145" w:type="dxa"/>
            <w:shd w:val="clear" w:color="000000" w:fill="FFFFFF"/>
            <w:vAlign w:val="bottom"/>
          </w:tcPr>
          <w:p w:rsidR="0083499E" w:rsidRPr="005C5711" w:rsidRDefault="0083499E" w:rsidP="00E53EDA">
            <w:pPr>
              <w:spacing w:after="0" w:line="240" w:lineRule="auto"/>
              <w:rPr>
                <w:rFonts w:ascii="Arial" w:eastAsia="Times New Roman" w:hAnsi="Arial" w:cs="Arial"/>
                <w:b/>
                <w:bCs/>
                <w:color w:val="000000" w:themeColor="text1"/>
                <w:sz w:val="24"/>
                <w:szCs w:val="24"/>
                <w:lang w:val="es-ES" w:eastAsia="es-ES"/>
              </w:rPr>
            </w:pPr>
          </w:p>
        </w:tc>
      </w:tr>
      <w:tr w:rsidR="0083499E" w:rsidRPr="009371EF" w:rsidTr="00E53EDA">
        <w:trPr>
          <w:trHeight w:val="152"/>
        </w:trPr>
        <w:tc>
          <w:tcPr>
            <w:tcW w:w="3147" w:type="dxa"/>
            <w:shd w:val="clear" w:color="000000" w:fill="FFFFFF"/>
            <w:noWrap/>
            <w:vAlign w:val="bottom"/>
            <w:hideMark/>
          </w:tcPr>
          <w:p w:rsidR="0083499E" w:rsidRPr="009371EF" w:rsidRDefault="0083499E" w:rsidP="00E53EDA">
            <w:pPr>
              <w:spacing w:after="0" w:line="240" w:lineRule="auto"/>
              <w:rPr>
                <w:rFonts w:ascii="Arial" w:eastAsia="Times New Roman" w:hAnsi="Arial" w:cs="Arial"/>
                <w:b/>
                <w:bCs/>
                <w:color w:val="000000" w:themeColor="text1"/>
                <w:sz w:val="24"/>
                <w:szCs w:val="24"/>
                <w:lang w:val="es-ES" w:eastAsia="es-ES"/>
              </w:rPr>
            </w:pPr>
            <w:r w:rsidRPr="009371EF">
              <w:rPr>
                <w:rFonts w:ascii="Arial" w:eastAsia="Times New Roman" w:hAnsi="Arial" w:cs="Arial"/>
                <w:b/>
                <w:bCs/>
                <w:color w:val="000000" w:themeColor="text1"/>
                <w:sz w:val="24"/>
                <w:szCs w:val="24"/>
                <w:lang w:val="es-ES" w:eastAsia="es-ES"/>
              </w:rPr>
              <w:t>CT</w:t>
            </w:r>
            <w:r w:rsidRPr="00D0434A">
              <w:rPr>
                <w:rFonts w:ascii="Arial" w:eastAsia="Times New Roman" w:hAnsi="Arial" w:cs="Arial"/>
                <w:b/>
                <w:color w:val="000000" w:themeColor="text1"/>
                <w:sz w:val="24"/>
                <w:szCs w:val="24"/>
                <w:lang w:val="es-ES" w:eastAsia="es-ES"/>
              </w:rPr>
              <w:t>:</w:t>
            </w:r>
            <w:r w:rsidR="00063B89">
              <w:rPr>
                <w:rFonts w:ascii="Arial" w:eastAsia="Times New Roman" w:hAnsi="Arial" w:cs="Arial"/>
                <w:b/>
                <w:color w:val="000000" w:themeColor="text1"/>
                <w:sz w:val="24"/>
                <w:szCs w:val="24"/>
                <w:lang w:val="es-ES" w:eastAsia="es-ES"/>
              </w:rPr>
              <w:t xml:space="preserve"> </w:t>
            </w:r>
            <w:r>
              <w:rPr>
                <w:rFonts w:ascii="Arial" w:eastAsia="Times New Roman" w:hAnsi="Arial" w:cs="Arial"/>
                <w:color w:val="000000" w:themeColor="text1"/>
                <w:sz w:val="24"/>
                <w:szCs w:val="24"/>
                <w:lang w:val="es-ES" w:eastAsia="es-ES"/>
              </w:rPr>
              <w:t>Conservación</w:t>
            </w:r>
            <w:r w:rsidRPr="009371EF">
              <w:rPr>
                <w:rFonts w:ascii="Arial" w:eastAsia="Times New Roman" w:hAnsi="Arial" w:cs="Arial"/>
                <w:color w:val="000000" w:themeColor="text1"/>
                <w:sz w:val="24"/>
                <w:szCs w:val="24"/>
                <w:lang w:val="es-ES" w:eastAsia="es-ES"/>
              </w:rPr>
              <w:t xml:space="preserve"> total</w:t>
            </w:r>
          </w:p>
        </w:tc>
        <w:tc>
          <w:tcPr>
            <w:tcW w:w="251" w:type="dxa"/>
            <w:shd w:val="clear" w:color="000000" w:fill="FFFFFF"/>
          </w:tcPr>
          <w:p w:rsidR="0083499E" w:rsidRPr="009371EF" w:rsidRDefault="0083499E" w:rsidP="00E53EDA">
            <w:pPr>
              <w:spacing w:after="0" w:line="240" w:lineRule="auto"/>
              <w:rPr>
                <w:rFonts w:ascii="Arial" w:eastAsia="Times New Roman" w:hAnsi="Arial" w:cs="Arial"/>
                <w:b/>
                <w:bCs/>
                <w:color w:val="000000" w:themeColor="text1"/>
                <w:sz w:val="24"/>
                <w:szCs w:val="24"/>
                <w:lang w:val="es-ES" w:eastAsia="es-ES"/>
              </w:rPr>
            </w:pPr>
          </w:p>
        </w:tc>
        <w:tc>
          <w:tcPr>
            <w:tcW w:w="5683" w:type="dxa"/>
            <w:gridSpan w:val="3"/>
            <w:tcBorders>
              <w:bottom w:val="single" w:sz="4" w:space="0" w:color="auto"/>
            </w:tcBorders>
            <w:shd w:val="clear" w:color="000000" w:fill="FFFFFF"/>
            <w:vAlign w:val="bottom"/>
          </w:tcPr>
          <w:p w:rsidR="0083499E" w:rsidRPr="009371EF" w:rsidRDefault="0083499E" w:rsidP="00E53EDA">
            <w:pPr>
              <w:spacing w:after="0" w:line="240" w:lineRule="auto"/>
              <w:rPr>
                <w:rFonts w:ascii="Arial" w:eastAsia="Times New Roman" w:hAnsi="Arial" w:cs="Arial"/>
                <w:b/>
                <w:bCs/>
                <w:color w:val="000000" w:themeColor="text1"/>
                <w:sz w:val="24"/>
                <w:szCs w:val="24"/>
                <w:lang w:val="es-ES" w:eastAsia="es-ES"/>
              </w:rPr>
            </w:pPr>
          </w:p>
        </w:tc>
        <w:tc>
          <w:tcPr>
            <w:tcW w:w="511" w:type="dxa"/>
            <w:shd w:val="clear" w:color="000000" w:fill="FFFFFF"/>
            <w:vAlign w:val="bottom"/>
          </w:tcPr>
          <w:p w:rsidR="0083499E" w:rsidRPr="009371EF" w:rsidRDefault="0083499E" w:rsidP="00E53EDA">
            <w:pPr>
              <w:spacing w:after="0" w:line="240" w:lineRule="auto"/>
              <w:rPr>
                <w:rFonts w:ascii="Arial" w:eastAsia="Times New Roman" w:hAnsi="Arial" w:cs="Arial"/>
                <w:b/>
                <w:bCs/>
                <w:color w:val="000000" w:themeColor="text1"/>
                <w:sz w:val="24"/>
                <w:szCs w:val="24"/>
                <w:lang w:val="es-ES" w:eastAsia="es-ES"/>
              </w:rPr>
            </w:pPr>
          </w:p>
        </w:tc>
        <w:tc>
          <w:tcPr>
            <w:tcW w:w="6145" w:type="dxa"/>
            <w:tcBorders>
              <w:bottom w:val="single" w:sz="4" w:space="0" w:color="auto"/>
            </w:tcBorders>
            <w:shd w:val="clear" w:color="000000" w:fill="FFFFFF"/>
            <w:vAlign w:val="bottom"/>
          </w:tcPr>
          <w:p w:rsidR="0083499E" w:rsidRPr="009371EF" w:rsidRDefault="0083499E" w:rsidP="00E53EDA">
            <w:pPr>
              <w:spacing w:after="0" w:line="240" w:lineRule="auto"/>
              <w:rPr>
                <w:rFonts w:ascii="Arial" w:eastAsia="Times New Roman" w:hAnsi="Arial" w:cs="Arial"/>
                <w:b/>
                <w:bCs/>
                <w:color w:val="000000" w:themeColor="text1"/>
                <w:sz w:val="24"/>
                <w:szCs w:val="24"/>
                <w:lang w:val="es-ES" w:eastAsia="es-ES"/>
              </w:rPr>
            </w:pPr>
          </w:p>
        </w:tc>
      </w:tr>
      <w:tr w:rsidR="0083499E" w:rsidRPr="009371EF" w:rsidTr="00E53EDA">
        <w:trPr>
          <w:trHeight w:val="76"/>
        </w:trPr>
        <w:tc>
          <w:tcPr>
            <w:tcW w:w="3147" w:type="dxa"/>
            <w:shd w:val="clear" w:color="000000" w:fill="FFFFFF"/>
            <w:noWrap/>
            <w:vAlign w:val="bottom"/>
            <w:hideMark/>
          </w:tcPr>
          <w:p w:rsidR="0083499E" w:rsidRPr="009371EF" w:rsidRDefault="0083499E" w:rsidP="00E53EDA">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 xml:space="preserve">E </w:t>
            </w:r>
            <w:r w:rsidRPr="009371EF">
              <w:rPr>
                <w:rFonts w:ascii="Arial" w:eastAsia="Times New Roman" w:hAnsi="Arial" w:cs="Arial"/>
                <w:b/>
                <w:bCs/>
                <w:color w:val="000000" w:themeColor="text1"/>
                <w:sz w:val="24"/>
                <w:szCs w:val="24"/>
                <w:lang w:val="es-ES" w:eastAsia="es-ES"/>
              </w:rPr>
              <w:t>:</w:t>
            </w:r>
            <w:r>
              <w:rPr>
                <w:rFonts w:ascii="Arial" w:eastAsia="Times New Roman" w:hAnsi="Arial" w:cs="Arial"/>
                <w:color w:val="000000" w:themeColor="text1"/>
                <w:sz w:val="24"/>
                <w:szCs w:val="24"/>
                <w:lang w:val="es-ES" w:eastAsia="es-ES"/>
              </w:rPr>
              <w:t xml:space="preserve"> Eliminación</w:t>
            </w:r>
          </w:p>
        </w:tc>
        <w:tc>
          <w:tcPr>
            <w:tcW w:w="251" w:type="dxa"/>
            <w:shd w:val="clear" w:color="000000" w:fill="FFFFFF"/>
          </w:tcPr>
          <w:p w:rsidR="0083499E" w:rsidRDefault="0083499E" w:rsidP="00E53EDA">
            <w:pPr>
              <w:spacing w:after="0" w:line="240" w:lineRule="auto"/>
              <w:jc w:val="center"/>
              <w:rPr>
                <w:rFonts w:ascii="Arial" w:eastAsia="Times New Roman" w:hAnsi="Arial" w:cs="Arial"/>
                <w:color w:val="000000" w:themeColor="text1"/>
                <w:sz w:val="24"/>
                <w:szCs w:val="24"/>
                <w:lang w:val="es-ES" w:eastAsia="es-ES"/>
              </w:rPr>
            </w:pPr>
          </w:p>
        </w:tc>
        <w:tc>
          <w:tcPr>
            <w:tcW w:w="5683" w:type="dxa"/>
            <w:gridSpan w:val="3"/>
            <w:tcBorders>
              <w:top w:val="single" w:sz="4" w:space="0" w:color="auto"/>
            </w:tcBorders>
            <w:shd w:val="clear" w:color="000000" w:fill="FFFFFF"/>
            <w:vAlign w:val="center"/>
          </w:tcPr>
          <w:p w:rsidR="0083499E" w:rsidRPr="002263A1" w:rsidRDefault="00CE6685" w:rsidP="00E53EDA">
            <w:pPr>
              <w:spacing w:after="0" w:line="240" w:lineRule="auto"/>
              <w:jc w:val="center"/>
              <w:rPr>
                <w:rFonts w:ascii="Arial" w:eastAsia="Times New Roman" w:hAnsi="Arial" w:cs="Arial"/>
                <w:bCs/>
                <w:color w:val="000000" w:themeColor="text1"/>
                <w:sz w:val="24"/>
                <w:szCs w:val="24"/>
                <w:lang w:val="es-ES" w:eastAsia="es-ES"/>
              </w:rPr>
            </w:pPr>
            <w:r>
              <w:rPr>
                <w:rFonts w:ascii="Arial" w:eastAsia="Times New Roman" w:hAnsi="Arial" w:cs="Arial"/>
                <w:color w:val="000000" w:themeColor="text1"/>
                <w:sz w:val="24"/>
                <w:szCs w:val="24"/>
                <w:lang w:val="es-ES" w:eastAsia="es-ES"/>
              </w:rPr>
              <w:t xml:space="preserve">Nora Lilia Córdoba </w:t>
            </w:r>
          </w:p>
        </w:tc>
        <w:tc>
          <w:tcPr>
            <w:tcW w:w="511" w:type="dxa"/>
            <w:shd w:val="clear" w:color="000000" w:fill="FFFFFF"/>
            <w:vAlign w:val="center"/>
          </w:tcPr>
          <w:p w:rsidR="0083499E" w:rsidRPr="009371EF" w:rsidRDefault="0083499E" w:rsidP="00E53EDA">
            <w:pPr>
              <w:spacing w:after="0" w:line="240" w:lineRule="auto"/>
              <w:jc w:val="center"/>
              <w:rPr>
                <w:rFonts w:ascii="Arial" w:eastAsia="Times New Roman" w:hAnsi="Arial" w:cs="Arial"/>
                <w:b/>
                <w:bCs/>
                <w:color w:val="000000" w:themeColor="text1"/>
                <w:sz w:val="24"/>
                <w:szCs w:val="24"/>
                <w:lang w:val="es-ES" w:eastAsia="es-ES"/>
              </w:rPr>
            </w:pPr>
          </w:p>
        </w:tc>
        <w:tc>
          <w:tcPr>
            <w:tcW w:w="6145" w:type="dxa"/>
            <w:tcBorders>
              <w:top w:val="single" w:sz="4" w:space="0" w:color="auto"/>
            </w:tcBorders>
            <w:shd w:val="clear" w:color="000000" w:fill="FFFFFF"/>
            <w:vAlign w:val="center"/>
          </w:tcPr>
          <w:p w:rsidR="0083499E" w:rsidRPr="009371EF" w:rsidRDefault="00CE6685" w:rsidP="00E53EDA">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Cs/>
                <w:color w:val="000000" w:themeColor="text1"/>
                <w:sz w:val="24"/>
                <w:szCs w:val="24"/>
                <w:lang w:val="es-ES" w:eastAsia="es-ES"/>
              </w:rPr>
              <w:t>Ana Lucia Chamorro</w:t>
            </w:r>
          </w:p>
        </w:tc>
      </w:tr>
      <w:tr w:rsidR="0083499E" w:rsidRPr="009371EF" w:rsidTr="00E53EDA">
        <w:trPr>
          <w:trHeight w:val="87"/>
        </w:trPr>
        <w:tc>
          <w:tcPr>
            <w:tcW w:w="3147" w:type="dxa"/>
            <w:shd w:val="clear" w:color="000000" w:fill="FFFFFF"/>
            <w:noWrap/>
            <w:vAlign w:val="bottom"/>
            <w:hideMark/>
          </w:tcPr>
          <w:p w:rsidR="0083499E" w:rsidRPr="005C5711" w:rsidRDefault="0083499E" w:rsidP="00E53EDA">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D</w:t>
            </w:r>
            <w:r w:rsidRPr="009371EF">
              <w:rPr>
                <w:rFonts w:ascii="Arial" w:eastAsia="Times New Roman" w:hAnsi="Arial" w:cs="Arial"/>
                <w:b/>
                <w:bCs/>
                <w:color w:val="000000" w:themeColor="text1"/>
                <w:sz w:val="24"/>
                <w:szCs w:val="24"/>
                <w:lang w:val="es-ES" w:eastAsia="es-ES"/>
              </w:rPr>
              <w:t xml:space="preserve"> :</w:t>
            </w:r>
            <w:r>
              <w:rPr>
                <w:rFonts w:ascii="Arial" w:eastAsia="Times New Roman" w:hAnsi="Arial" w:cs="Arial"/>
                <w:color w:val="000000" w:themeColor="text1"/>
                <w:sz w:val="24"/>
                <w:szCs w:val="24"/>
                <w:lang w:val="es-ES" w:eastAsia="es-ES"/>
              </w:rPr>
              <w:t xml:space="preserve"> Digitalización </w:t>
            </w:r>
          </w:p>
        </w:tc>
        <w:tc>
          <w:tcPr>
            <w:tcW w:w="251" w:type="dxa"/>
            <w:shd w:val="clear" w:color="000000" w:fill="FFFFFF"/>
          </w:tcPr>
          <w:p w:rsidR="0083499E" w:rsidRDefault="0083499E" w:rsidP="00E53EDA">
            <w:pPr>
              <w:spacing w:after="0" w:line="240" w:lineRule="auto"/>
              <w:jc w:val="center"/>
              <w:rPr>
                <w:rFonts w:ascii="Arial" w:eastAsia="Times New Roman" w:hAnsi="Arial" w:cs="Arial"/>
                <w:b/>
                <w:bCs/>
                <w:color w:val="000000" w:themeColor="text1"/>
                <w:sz w:val="24"/>
                <w:szCs w:val="24"/>
                <w:lang w:val="es-ES" w:eastAsia="es-ES"/>
              </w:rPr>
            </w:pPr>
          </w:p>
        </w:tc>
        <w:tc>
          <w:tcPr>
            <w:tcW w:w="5683" w:type="dxa"/>
            <w:gridSpan w:val="3"/>
            <w:shd w:val="clear" w:color="000000" w:fill="FFFFFF"/>
          </w:tcPr>
          <w:p w:rsidR="0083499E" w:rsidRPr="005C5711" w:rsidRDefault="0083499E" w:rsidP="00E53EDA">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Subgerente Administrativo</w:t>
            </w:r>
          </w:p>
        </w:tc>
        <w:tc>
          <w:tcPr>
            <w:tcW w:w="511" w:type="dxa"/>
            <w:shd w:val="clear" w:color="000000" w:fill="FFFFFF"/>
          </w:tcPr>
          <w:p w:rsidR="0083499E" w:rsidRPr="005C5711" w:rsidRDefault="0083499E" w:rsidP="00E53EDA">
            <w:pPr>
              <w:spacing w:after="0" w:line="240" w:lineRule="auto"/>
              <w:jc w:val="center"/>
              <w:rPr>
                <w:rFonts w:ascii="Arial" w:eastAsia="Times New Roman" w:hAnsi="Arial" w:cs="Arial"/>
                <w:b/>
                <w:bCs/>
                <w:color w:val="000000" w:themeColor="text1"/>
                <w:sz w:val="24"/>
                <w:szCs w:val="24"/>
                <w:lang w:val="es-ES" w:eastAsia="es-ES"/>
              </w:rPr>
            </w:pPr>
          </w:p>
        </w:tc>
        <w:tc>
          <w:tcPr>
            <w:tcW w:w="6145" w:type="dxa"/>
            <w:shd w:val="clear" w:color="000000" w:fill="FFFFFF"/>
          </w:tcPr>
          <w:p w:rsidR="0083499E" w:rsidRPr="005C5711" w:rsidRDefault="0083499E" w:rsidP="00E53EDA">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
                <w:color w:val="000000" w:themeColor="text1"/>
                <w:sz w:val="24"/>
                <w:szCs w:val="24"/>
                <w:lang w:val="es-ES" w:eastAsia="es-ES"/>
              </w:rPr>
              <w:t>Coordinador Gestión Documental</w:t>
            </w:r>
          </w:p>
        </w:tc>
      </w:tr>
      <w:tr w:rsidR="0083499E" w:rsidRPr="009371EF" w:rsidTr="00E53EDA">
        <w:trPr>
          <w:trHeight w:val="163"/>
        </w:trPr>
        <w:tc>
          <w:tcPr>
            <w:tcW w:w="3147" w:type="dxa"/>
            <w:shd w:val="clear" w:color="000000" w:fill="FFFFFF"/>
            <w:noWrap/>
            <w:vAlign w:val="bottom"/>
            <w:hideMark/>
          </w:tcPr>
          <w:p w:rsidR="0083499E" w:rsidRPr="009371EF" w:rsidRDefault="0083499E" w:rsidP="00E53EDA">
            <w:pPr>
              <w:spacing w:after="0" w:line="240" w:lineRule="auto"/>
              <w:rPr>
                <w:rFonts w:ascii="Arial" w:eastAsia="Times New Roman" w:hAnsi="Arial" w:cs="Arial"/>
                <w:b/>
                <w:bCs/>
                <w:color w:val="000000" w:themeColor="text1"/>
                <w:sz w:val="24"/>
                <w:szCs w:val="24"/>
                <w:lang w:val="es-ES" w:eastAsia="es-ES"/>
              </w:rPr>
            </w:pPr>
            <w:r w:rsidRPr="009371EF">
              <w:rPr>
                <w:rFonts w:ascii="Arial" w:eastAsia="Times New Roman" w:hAnsi="Arial" w:cs="Arial"/>
                <w:b/>
                <w:bCs/>
                <w:color w:val="000000" w:themeColor="text1"/>
                <w:sz w:val="24"/>
                <w:szCs w:val="24"/>
                <w:lang w:val="es-ES" w:eastAsia="es-ES"/>
              </w:rPr>
              <w:t>S :</w:t>
            </w:r>
            <w:r w:rsidRPr="009371EF">
              <w:rPr>
                <w:rFonts w:ascii="Arial" w:eastAsia="Times New Roman" w:hAnsi="Arial" w:cs="Arial"/>
                <w:color w:val="000000" w:themeColor="text1"/>
                <w:sz w:val="24"/>
                <w:szCs w:val="24"/>
                <w:lang w:val="es-ES" w:eastAsia="es-ES"/>
              </w:rPr>
              <w:t>Selección</w:t>
            </w:r>
          </w:p>
        </w:tc>
        <w:tc>
          <w:tcPr>
            <w:tcW w:w="251" w:type="dxa"/>
            <w:shd w:val="clear" w:color="000000" w:fill="FFFFFF"/>
          </w:tcPr>
          <w:p w:rsidR="0083499E" w:rsidRPr="009371EF" w:rsidRDefault="0083499E" w:rsidP="00E53EDA">
            <w:pPr>
              <w:spacing w:after="0" w:line="240" w:lineRule="auto"/>
              <w:rPr>
                <w:rFonts w:ascii="Arial" w:eastAsia="Times New Roman" w:hAnsi="Arial" w:cs="Arial"/>
                <w:b/>
                <w:bCs/>
                <w:color w:val="000000" w:themeColor="text1"/>
                <w:sz w:val="24"/>
                <w:szCs w:val="24"/>
                <w:lang w:val="es-ES" w:eastAsia="es-ES"/>
              </w:rPr>
            </w:pPr>
          </w:p>
        </w:tc>
        <w:tc>
          <w:tcPr>
            <w:tcW w:w="347" w:type="dxa"/>
            <w:shd w:val="clear" w:color="000000" w:fill="FFFFFF"/>
            <w:vAlign w:val="bottom"/>
          </w:tcPr>
          <w:p w:rsidR="0083499E" w:rsidRPr="009371EF" w:rsidRDefault="0083499E" w:rsidP="00E53EDA">
            <w:pPr>
              <w:spacing w:after="0" w:line="240" w:lineRule="auto"/>
              <w:rPr>
                <w:rFonts w:ascii="Arial" w:eastAsia="Times New Roman" w:hAnsi="Arial" w:cs="Arial"/>
                <w:b/>
                <w:bCs/>
                <w:color w:val="000000" w:themeColor="text1"/>
                <w:sz w:val="24"/>
                <w:szCs w:val="24"/>
                <w:lang w:val="es-ES" w:eastAsia="es-ES"/>
              </w:rPr>
            </w:pPr>
          </w:p>
        </w:tc>
        <w:tc>
          <w:tcPr>
            <w:tcW w:w="5335" w:type="dxa"/>
            <w:gridSpan w:val="2"/>
            <w:shd w:val="clear" w:color="000000" w:fill="FFFFFF"/>
            <w:vAlign w:val="bottom"/>
          </w:tcPr>
          <w:p w:rsidR="0083499E" w:rsidRPr="009371EF" w:rsidRDefault="0083499E" w:rsidP="00E53EDA">
            <w:pPr>
              <w:spacing w:after="0" w:line="240" w:lineRule="auto"/>
              <w:rPr>
                <w:rFonts w:ascii="Arial" w:eastAsia="Times New Roman" w:hAnsi="Arial" w:cs="Arial"/>
                <w:b/>
                <w:bCs/>
                <w:color w:val="000000" w:themeColor="text1"/>
                <w:sz w:val="24"/>
                <w:szCs w:val="24"/>
                <w:lang w:val="es-ES" w:eastAsia="es-ES"/>
              </w:rPr>
            </w:pPr>
          </w:p>
        </w:tc>
        <w:tc>
          <w:tcPr>
            <w:tcW w:w="511" w:type="dxa"/>
            <w:shd w:val="clear" w:color="000000" w:fill="FFFFFF"/>
            <w:vAlign w:val="bottom"/>
          </w:tcPr>
          <w:p w:rsidR="0083499E" w:rsidRPr="009371EF" w:rsidRDefault="0083499E" w:rsidP="00E53EDA">
            <w:pPr>
              <w:spacing w:after="0" w:line="240" w:lineRule="auto"/>
              <w:rPr>
                <w:rFonts w:ascii="Arial" w:eastAsia="Times New Roman" w:hAnsi="Arial" w:cs="Arial"/>
                <w:b/>
                <w:bCs/>
                <w:color w:val="000000" w:themeColor="text1"/>
                <w:sz w:val="24"/>
                <w:szCs w:val="24"/>
                <w:lang w:val="es-ES" w:eastAsia="es-ES"/>
              </w:rPr>
            </w:pPr>
          </w:p>
        </w:tc>
        <w:tc>
          <w:tcPr>
            <w:tcW w:w="6145" w:type="dxa"/>
            <w:shd w:val="clear" w:color="000000" w:fill="FFFFFF"/>
            <w:vAlign w:val="bottom"/>
          </w:tcPr>
          <w:p w:rsidR="0083499E" w:rsidRPr="009371EF" w:rsidRDefault="0083499E" w:rsidP="00E53EDA">
            <w:pPr>
              <w:spacing w:after="0" w:line="240" w:lineRule="auto"/>
              <w:rPr>
                <w:rFonts w:ascii="Arial" w:eastAsia="Times New Roman" w:hAnsi="Arial" w:cs="Arial"/>
                <w:b/>
                <w:bCs/>
                <w:color w:val="000000" w:themeColor="text1"/>
                <w:sz w:val="24"/>
                <w:szCs w:val="24"/>
                <w:lang w:val="es-ES" w:eastAsia="es-ES"/>
              </w:rPr>
            </w:pPr>
          </w:p>
        </w:tc>
      </w:tr>
      <w:tr w:rsidR="0083499E" w:rsidRPr="009371EF" w:rsidTr="00E53EDA">
        <w:trPr>
          <w:trHeight w:val="298"/>
        </w:trPr>
        <w:tc>
          <w:tcPr>
            <w:tcW w:w="3147" w:type="dxa"/>
            <w:shd w:val="clear" w:color="000000" w:fill="FFFFFF"/>
            <w:noWrap/>
            <w:vAlign w:val="bottom"/>
          </w:tcPr>
          <w:p w:rsidR="0083499E" w:rsidRPr="009371EF" w:rsidRDefault="0083499E" w:rsidP="00E53EDA">
            <w:pPr>
              <w:spacing w:after="0" w:line="240" w:lineRule="auto"/>
              <w:rPr>
                <w:rFonts w:ascii="Arial" w:eastAsia="Times New Roman" w:hAnsi="Arial" w:cs="Arial"/>
                <w:b/>
                <w:bCs/>
                <w:color w:val="000000" w:themeColor="text1"/>
                <w:sz w:val="24"/>
                <w:szCs w:val="24"/>
                <w:lang w:val="es-ES" w:eastAsia="es-ES"/>
              </w:rPr>
            </w:pPr>
          </w:p>
        </w:tc>
        <w:tc>
          <w:tcPr>
            <w:tcW w:w="251" w:type="dxa"/>
            <w:shd w:val="clear" w:color="000000" w:fill="FFFFFF"/>
          </w:tcPr>
          <w:p w:rsidR="0083499E" w:rsidRPr="005C5711" w:rsidRDefault="0083499E" w:rsidP="00E53EDA">
            <w:pPr>
              <w:spacing w:after="0" w:line="240" w:lineRule="auto"/>
              <w:rPr>
                <w:rFonts w:ascii="Arial" w:eastAsia="Times New Roman" w:hAnsi="Arial" w:cs="Arial"/>
                <w:bCs/>
                <w:color w:val="000000" w:themeColor="text1"/>
                <w:sz w:val="24"/>
                <w:szCs w:val="24"/>
                <w:lang w:val="es-ES" w:eastAsia="es-ES"/>
              </w:rPr>
            </w:pPr>
          </w:p>
        </w:tc>
        <w:tc>
          <w:tcPr>
            <w:tcW w:w="347" w:type="dxa"/>
            <w:shd w:val="clear" w:color="000000" w:fill="FFFFFF"/>
            <w:vAlign w:val="bottom"/>
          </w:tcPr>
          <w:p w:rsidR="0083499E" w:rsidRPr="005C5711" w:rsidRDefault="0083499E" w:rsidP="00E53EDA">
            <w:pPr>
              <w:spacing w:after="0" w:line="240" w:lineRule="auto"/>
              <w:rPr>
                <w:rFonts w:ascii="Arial" w:eastAsia="Times New Roman" w:hAnsi="Arial" w:cs="Arial"/>
                <w:bCs/>
                <w:color w:val="000000" w:themeColor="text1"/>
                <w:sz w:val="24"/>
                <w:szCs w:val="24"/>
                <w:lang w:val="es-ES" w:eastAsia="es-ES"/>
              </w:rPr>
            </w:pPr>
          </w:p>
        </w:tc>
        <w:tc>
          <w:tcPr>
            <w:tcW w:w="2698" w:type="dxa"/>
            <w:shd w:val="clear" w:color="000000" w:fill="FFFFFF"/>
            <w:vAlign w:val="center"/>
          </w:tcPr>
          <w:p w:rsidR="0083499E" w:rsidRPr="005C5711" w:rsidRDefault="0083499E" w:rsidP="00E53EDA">
            <w:pPr>
              <w:spacing w:after="0" w:line="240" w:lineRule="auto"/>
              <w:jc w:val="right"/>
              <w:rPr>
                <w:rFonts w:ascii="Arial" w:eastAsia="Times New Roman" w:hAnsi="Arial" w:cs="Arial"/>
                <w:bCs/>
                <w:color w:val="000000" w:themeColor="text1"/>
                <w:sz w:val="24"/>
                <w:szCs w:val="24"/>
                <w:lang w:val="es-ES" w:eastAsia="es-ES"/>
              </w:rPr>
            </w:pPr>
            <w:r>
              <w:rPr>
                <w:rFonts w:ascii="Arial" w:eastAsia="Times New Roman" w:hAnsi="Arial" w:cs="Arial"/>
                <w:bCs/>
                <w:color w:val="000000" w:themeColor="text1"/>
                <w:sz w:val="24"/>
                <w:szCs w:val="24"/>
                <w:lang w:val="es-ES" w:eastAsia="es-ES"/>
              </w:rPr>
              <w:t>Fecha:</w:t>
            </w:r>
          </w:p>
        </w:tc>
        <w:tc>
          <w:tcPr>
            <w:tcW w:w="2636" w:type="dxa"/>
            <w:tcBorders>
              <w:bottom w:val="single" w:sz="4" w:space="0" w:color="auto"/>
            </w:tcBorders>
            <w:shd w:val="clear" w:color="000000" w:fill="FFFFFF"/>
            <w:vAlign w:val="bottom"/>
          </w:tcPr>
          <w:p w:rsidR="0083499E" w:rsidRPr="005C5711" w:rsidRDefault="001373EF" w:rsidP="00E53EDA">
            <w:pPr>
              <w:spacing w:after="0" w:line="240" w:lineRule="auto"/>
              <w:jc w:val="center"/>
              <w:rPr>
                <w:rFonts w:ascii="Arial" w:eastAsia="Times New Roman" w:hAnsi="Arial" w:cs="Arial"/>
                <w:bCs/>
                <w:color w:val="000000" w:themeColor="text1"/>
                <w:sz w:val="24"/>
                <w:szCs w:val="24"/>
                <w:lang w:val="es-ES" w:eastAsia="es-ES"/>
              </w:rPr>
            </w:pPr>
            <w:r>
              <w:rPr>
                <w:rFonts w:ascii="Arial" w:eastAsia="Times New Roman" w:hAnsi="Arial" w:cs="Arial"/>
                <w:bCs/>
                <w:color w:val="000000" w:themeColor="text1"/>
                <w:sz w:val="24"/>
                <w:szCs w:val="24"/>
                <w:lang w:val="es-ES" w:eastAsia="es-ES"/>
              </w:rPr>
              <w:t>Agosto de 2020</w:t>
            </w:r>
          </w:p>
        </w:tc>
        <w:tc>
          <w:tcPr>
            <w:tcW w:w="511" w:type="dxa"/>
            <w:shd w:val="clear" w:color="000000" w:fill="FFFFFF"/>
            <w:vAlign w:val="bottom"/>
          </w:tcPr>
          <w:p w:rsidR="0083499E" w:rsidRPr="009371EF" w:rsidRDefault="0083499E" w:rsidP="00E53EDA">
            <w:pPr>
              <w:spacing w:after="0" w:line="240" w:lineRule="auto"/>
              <w:rPr>
                <w:rFonts w:ascii="Arial" w:eastAsia="Times New Roman" w:hAnsi="Arial" w:cs="Arial"/>
                <w:b/>
                <w:bCs/>
                <w:color w:val="000000" w:themeColor="text1"/>
                <w:sz w:val="24"/>
                <w:szCs w:val="24"/>
                <w:lang w:val="es-ES" w:eastAsia="es-ES"/>
              </w:rPr>
            </w:pPr>
          </w:p>
        </w:tc>
        <w:tc>
          <w:tcPr>
            <w:tcW w:w="6145" w:type="dxa"/>
            <w:shd w:val="clear" w:color="000000" w:fill="FFFFFF"/>
            <w:vAlign w:val="bottom"/>
          </w:tcPr>
          <w:p w:rsidR="0083499E" w:rsidRPr="009371EF" w:rsidRDefault="0083499E" w:rsidP="00E53EDA">
            <w:pPr>
              <w:spacing w:after="0" w:line="240" w:lineRule="auto"/>
              <w:rPr>
                <w:rFonts w:ascii="Arial" w:eastAsia="Times New Roman" w:hAnsi="Arial" w:cs="Arial"/>
                <w:b/>
                <w:bCs/>
                <w:color w:val="000000" w:themeColor="text1"/>
                <w:sz w:val="24"/>
                <w:szCs w:val="24"/>
                <w:lang w:val="es-ES" w:eastAsia="es-ES"/>
              </w:rPr>
            </w:pPr>
          </w:p>
        </w:tc>
      </w:tr>
    </w:tbl>
    <w:p w:rsidR="0083499E" w:rsidRPr="00372BC5" w:rsidRDefault="0083499E" w:rsidP="00372BC5"/>
    <w:sectPr w:rsidR="0083499E" w:rsidRPr="00372BC5" w:rsidSect="00C07E90">
      <w:headerReference w:type="default" r:id="rId8"/>
      <w:footerReference w:type="default" r:id="rId9"/>
      <w:pgSz w:w="20160" w:h="12240" w:orient="landscape" w:code="5"/>
      <w:pgMar w:top="2143" w:right="1418" w:bottom="567" w:left="1985" w:header="1418" w:footer="2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53A" w:rsidRDefault="00ED353A" w:rsidP="00034CBB">
      <w:pPr>
        <w:spacing w:after="0" w:line="240" w:lineRule="auto"/>
      </w:pPr>
      <w:r>
        <w:separator/>
      </w:r>
    </w:p>
  </w:endnote>
  <w:endnote w:type="continuationSeparator" w:id="0">
    <w:p w:rsidR="00ED353A" w:rsidRDefault="00ED353A" w:rsidP="0003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A42" w:rsidRPr="00372BC5" w:rsidRDefault="00497A42" w:rsidP="00497A42"/>
  <w:p w:rsidR="00CB41D4" w:rsidRDefault="00CB41D4" w:rsidP="00CB41D4"/>
  <w:p w:rsidR="00CB41D4" w:rsidRDefault="00CB41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53A" w:rsidRDefault="00ED353A" w:rsidP="00034CBB">
      <w:pPr>
        <w:spacing w:after="0" w:line="240" w:lineRule="auto"/>
      </w:pPr>
      <w:r>
        <w:separator/>
      </w:r>
    </w:p>
  </w:footnote>
  <w:footnote w:type="continuationSeparator" w:id="0">
    <w:p w:rsidR="00ED353A" w:rsidRDefault="00ED353A" w:rsidP="00034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CBB" w:rsidRDefault="00034CBB">
    <w:pPr>
      <w:pStyle w:val="Encabezado"/>
    </w:pPr>
    <w:r>
      <w:rPr>
        <w:noProof/>
        <w:lang w:eastAsia="es-CO"/>
      </w:rPr>
      <w:drawing>
        <wp:inline distT="0" distB="0" distL="0" distR="0">
          <wp:extent cx="10925175" cy="922020"/>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rcRect l="35358" t="23826" r="14241" b="65470"/>
                  <a:stretch>
                    <a:fillRect/>
                  </a:stretch>
                </pic:blipFill>
                <pic:spPr bwMode="auto">
                  <a:xfrm>
                    <a:off x="0" y="0"/>
                    <a:ext cx="10926305" cy="922115"/>
                  </a:xfrm>
                  <a:prstGeom prst="rect">
                    <a:avLst/>
                  </a:prstGeom>
                  <a:noFill/>
                  <a:ln w="1">
                    <a:noFill/>
                    <a:miter lim="800000"/>
                    <a:headEnd/>
                    <a:tailEnd type="none" w="med" len="med"/>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B499F"/>
    <w:multiLevelType w:val="hybridMultilevel"/>
    <w:tmpl w:val="D16A5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21893"/>
    <w:rsid w:val="00002D2E"/>
    <w:rsid w:val="00021B7D"/>
    <w:rsid w:val="00031558"/>
    <w:rsid w:val="00034CBB"/>
    <w:rsid w:val="00035903"/>
    <w:rsid w:val="000561C6"/>
    <w:rsid w:val="00063B89"/>
    <w:rsid w:val="00080FCE"/>
    <w:rsid w:val="00094D19"/>
    <w:rsid w:val="000E2897"/>
    <w:rsid w:val="000F1704"/>
    <w:rsid w:val="000F1F73"/>
    <w:rsid w:val="000F3B55"/>
    <w:rsid w:val="0010051C"/>
    <w:rsid w:val="001373EF"/>
    <w:rsid w:val="00137F41"/>
    <w:rsid w:val="00143F6C"/>
    <w:rsid w:val="00144A80"/>
    <w:rsid w:val="00145E25"/>
    <w:rsid w:val="00156432"/>
    <w:rsid w:val="00174E4F"/>
    <w:rsid w:val="00194DBF"/>
    <w:rsid w:val="001A101F"/>
    <w:rsid w:val="001D2F99"/>
    <w:rsid w:val="001D5476"/>
    <w:rsid w:val="001F488A"/>
    <w:rsid w:val="001F7CCD"/>
    <w:rsid w:val="002008DF"/>
    <w:rsid w:val="00212625"/>
    <w:rsid w:val="00214237"/>
    <w:rsid w:val="00245E65"/>
    <w:rsid w:val="0024615A"/>
    <w:rsid w:val="00252ECA"/>
    <w:rsid w:val="00282D81"/>
    <w:rsid w:val="0028395A"/>
    <w:rsid w:val="002968F2"/>
    <w:rsid w:val="002B1238"/>
    <w:rsid w:val="002B142F"/>
    <w:rsid w:val="002D46ED"/>
    <w:rsid w:val="00310168"/>
    <w:rsid w:val="00326A93"/>
    <w:rsid w:val="00336BDE"/>
    <w:rsid w:val="00360671"/>
    <w:rsid w:val="0036083A"/>
    <w:rsid w:val="00361DA5"/>
    <w:rsid w:val="00372BC5"/>
    <w:rsid w:val="003832EF"/>
    <w:rsid w:val="00384A0B"/>
    <w:rsid w:val="003856CB"/>
    <w:rsid w:val="003A2846"/>
    <w:rsid w:val="003A3479"/>
    <w:rsid w:val="003A6E91"/>
    <w:rsid w:val="003D0F97"/>
    <w:rsid w:val="004041E1"/>
    <w:rsid w:val="0040627D"/>
    <w:rsid w:val="0041365C"/>
    <w:rsid w:val="0042450C"/>
    <w:rsid w:val="00425686"/>
    <w:rsid w:val="004321ED"/>
    <w:rsid w:val="00434890"/>
    <w:rsid w:val="00473E5A"/>
    <w:rsid w:val="00497A42"/>
    <w:rsid w:val="004B0F44"/>
    <w:rsid w:val="004B19D1"/>
    <w:rsid w:val="004C5281"/>
    <w:rsid w:val="004F0C3B"/>
    <w:rsid w:val="004F6B64"/>
    <w:rsid w:val="00503FA0"/>
    <w:rsid w:val="00504693"/>
    <w:rsid w:val="00511538"/>
    <w:rsid w:val="00516742"/>
    <w:rsid w:val="00521CF6"/>
    <w:rsid w:val="00531C1A"/>
    <w:rsid w:val="0056129C"/>
    <w:rsid w:val="00596DFD"/>
    <w:rsid w:val="005A7A2C"/>
    <w:rsid w:val="005A7ADE"/>
    <w:rsid w:val="005B29BA"/>
    <w:rsid w:val="005B3C4A"/>
    <w:rsid w:val="005B6828"/>
    <w:rsid w:val="005C2EC3"/>
    <w:rsid w:val="005D276F"/>
    <w:rsid w:val="005D4C6E"/>
    <w:rsid w:val="005E16F3"/>
    <w:rsid w:val="00601FDA"/>
    <w:rsid w:val="00627FA3"/>
    <w:rsid w:val="00635B0C"/>
    <w:rsid w:val="006419F3"/>
    <w:rsid w:val="0066209F"/>
    <w:rsid w:val="00672162"/>
    <w:rsid w:val="00685F20"/>
    <w:rsid w:val="006B6D12"/>
    <w:rsid w:val="006C63BE"/>
    <w:rsid w:val="006D1B16"/>
    <w:rsid w:val="006D6C65"/>
    <w:rsid w:val="006D6EB9"/>
    <w:rsid w:val="006E5AD8"/>
    <w:rsid w:val="006F667C"/>
    <w:rsid w:val="00712942"/>
    <w:rsid w:val="007224D1"/>
    <w:rsid w:val="00723C17"/>
    <w:rsid w:val="00736220"/>
    <w:rsid w:val="00755DFF"/>
    <w:rsid w:val="00763AF9"/>
    <w:rsid w:val="00764459"/>
    <w:rsid w:val="007A3FA6"/>
    <w:rsid w:val="007D1C41"/>
    <w:rsid w:val="00806C7E"/>
    <w:rsid w:val="00816E5C"/>
    <w:rsid w:val="008204FD"/>
    <w:rsid w:val="00832E1B"/>
    <w:rsid w:val="0083499E"/>
    <w:rsid w:val="008408F6"/>
    <w:rsid w:val="00845192"/>
    <w:rsid w:val="00845248"/>
    <w:rsid w:val="00852533"/>
    <w:rsid w:val="0086556B"/>
    <w:rsid w:val="008777C7"/>
    <w:rsid w:val="00895371"/>
    <w:rsid w:val="008A17B7"/>
    <w:rsid w:val="008A2314"/>
    <w:rsid w:val="008B2D11"/>
    <w:rsid w:val="008C6743"/>
    <w:rsid w:val="00904663"/>
    <w:rsid w:val="00907A69"/>
    <w:rsid w:val="009143D3"/>
    <w:rsid w:val="00921893"/>
    <w:rsid w:val="00924111"/>
    <w:rsid w:val="00936244"/>
    <w:rsid w:val="009418FB"/>
    <w:rsid w:val="00963236"/>
    <w:rsid w:val="009975D0"/>
    <w:rsid w:val="009B11DE"/>
    <w:rsid w:val="009B23AB"/>
    <w:rsid w:val="009B2F62"/>
    <w:rsid w:val="009C6798"/>
    <w:rsid w:val="009E2F84"/>
    <w:rsid w:val="00A039E3"/>
    <w:rsid w:val="00A058E9"/>
    <w:rsid w:val="00A155D6"/>
    <w:rsid w:val="00A30132"/>
    <w:rsid w:val="00A44226"/>
    <w:rsid w:val="00A540D5"/>
    <w:rsid w:val="00A54915"/>
    <w:rsid w:val="00A81CBC"/>
    <w:rsid w:val="00A97640"/>
    <w:rsid w:val="00AA41AA"/>
    <w:rsid w:val="00AA4325"/>
    <w:rsid w:val="00AA5B85"/>
    <w:rsid w:val="00AA69EC"/>
    <w:rsid w:val="00AB1660"/>
    <w:rsid w:val="00AB5824"/>
    <w:rsid w:val="00AE1DBB"/>
    <w:rsid w:val="00AE416E"/>
    <w:rsid w:val="00AE4F9D"/>
    <w:rsid w:val="00AF6FB5"/>
    <w:rsid w:val="00B16D8B"/>
    <w:rsid w:val="00B26816"/>
    <w:rsid w:val="00B26AF9"/>
    <w:rsid w:val="00B4066F"/>
    <w:rsid w:val="00B470A9"/>
    <w:rsid w:val="00B60653"/>
    <w:rsid w:val="00B618F7"/>
    <w:rsid w:val="00B61CEF"/>
    <w:rsid w:val="00B65915"/>
    <w:rsid w:val="00B81218"/>
    <w:rsid w:val="00B85C50"/>
    <w:rsid w:val="00BA09AF"/>
    <w:rsid w:val="00BC324C"/>
    <w:rsid w:val="00C06891"/>
    <w:rsid w:val="00C07E90"/>
    <w:rsid w:val="00C13450"/>
    <w:rsid w:val="00C23FD2"/>
    <w:rsid w:val="00C2432C"/>
    <w:rsid w:val="00C274A0"/>
    <w:rsid w:val="00C42674"/>
    <w:rsid w:val="00C45E28"/>
    <w:rsid w:val="00C51738"/>
    <w:rsid w:val="00C87CDB"/>
    <w:rsid w:val="00C932BB"/>
    <w:rsid w:val="00C97348"/>
    <w:rsid w:val="00CB41D4"/>
    <w:rsid w:val="00CC4AD2"/>
    <w:rsid w:val="00CC589C"/>
    <w:rsid w:val="00CD0B89"/>
    <w:rsid w:val="00CE6685"/>
    <w:rsid w:val="00CF7C60"/>
    <w:rsid w:val="00D3480F"/>
    <w:rsid w:val="00D5555F"/>
    <w:rsid w:val="00D643A5"/>
    <w:rsid w:val="00D72508"/>
    <w:rsid w:val="00DA10E9"/>
    <w:rsid w:val="00DB3768"/>
    <w:rsid w:val="00DC0FC1"/>
    <w:rsid w:val="00DC1258"/>
    <w:rsid w:val="00DC7336"/>
    <w:rsid w:val="00DE00DA"/>
    <w:rsid w:val="00E05BF1"/>
    <w:rsid w:val="00E32303"/>
    <w:rsid w:val="00E33E48"/>
    <w:rsid w:val="00E46930"/>
    <w:rsid w:val="00E53486"/>
    <w:rsid w:val="00E55925"/>
    <w:rsid w:val="00E62345"/>
    <w:rsid w:val="00E76C74"/>
    <w:rsid w:val="00E81370"/>
    <w:rsid w:val="00E84ACE"/>
    <w:rsid w:val="00E87B0F"/>
    <w:rsid w:val="00E9324D"/>
    <w:rsid w:val="00EA626E"/>
    <w:rsid w:val="00EB3679"/>
    <w:rsid w:val="00EB4336"/>
    <w:rsid w:val="00ED353A"/>
    <w:rsid w:val="00F019A0"/>
    <w:rsid w:val="00F039A3"/>
    <w:rsid w:val="00F237AD"/>
    <w:rsid w:val="00F56937"/>
    <w:rsid w:val="00F76752"/>
    <w:rsid w:val="00F8499C"/>
    <w:rsid w:val="00F864A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7BCECE-764E-4BD2-B499-45B44E3B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CB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4CBB"/>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034CBB"/>
  </w:style>
  <w:style w:type="paragraph" w:styleId="Piedepgina">
    <w:name w:val="footer"/>
    <w:basedOn w:val="Normal"/>
    <w:link w:val="PiedepginaCar"/>
    <w:uiPriority w:val="99"/>
    <w:unhideWhenUsed/>
    <w:rsid w:val="00034CBB"/>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034CBB"/>
  </w:style>
  <w:style w:type="paragraph" w:styleId="Sinespaciado">
    <w:name w:val="No Spacing"/>
    <w:uiPriority w:val="1"/>
    <w:qFormat/>
    <w:rsid w:val="00034CB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E469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6930"/>
    <w:rPr>
      <w:rFonts w:ascii="Tahoma" w:eastAsia="Calibri" w:hAnsi="Tahoma" w:cs="Tahoma"/>
      <w:sz w:val="16"/>
      <w:szCs w:val="16"/>
    </w:rPr>
  </w:style>
  <w:style w:type="character" w:styleId="Refdecomentario">
    <w:name w:val="annotation reference"/>
    <w:basedOn w:val="Fuentedeprrafopredeter"/>
    <w:uiPriority w:val="99"/>
    <w:semiHidden/>
    <w:unhideWhenUsed/>
    <w:rsid w:val="00144A80"/>
    <w:rPr>
      <w:sz w:val="16"/>
      <w:szCs w:val="16"/>
    </w:rPr>
  </w:style>
  <w:style w:type="paragraph" w:styleId="Textocomentario">
    <w:name w:val="annotation text"/>
    <w:basedOn w:val="Normal"/>
    <w:link w:val="TextocomentarioCar"/>
    <w:uiPriority w:val="99"/>
    <w:semiHidden/>
    <w:unhideWhenUsed/>
    <w:rsid w:val="00144A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4A8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144A80"/>
    <w:rPr>
      <w:b/>
      <w:bCs/>
    </w:rPr>
  </w:style>
  <w:style w:type="character" w:customStyle="1" w:styleId="AsuntodelcomentarioCar">
    <w:name w:val="Asunto del comentario Car"/>
    <w:basedOn w:val="TextocomentarioCar"/>
    <w:link w:val="Asuntodelcomentario"/>
    <w:uiPriority w:val="99"/>
    <w:semiHidden/>
    <w:rsid w:val="00144A80"/>
    <w:rPr>
      <w:rFonts w:ascii="Calibri" w:eastAsia="Calibri" w:hAnsi="Calibri" w:cs="Times New Roman"/>
      <w:b/>
      <w:bCs/>
      <w:sz w:val="20"/>
      <w:szCs w:val="20"/>
    </w:rPr>
  </w:style>
  <w:style w:type="paragraph" w:styleId="Prrafodelista">
    <w:name w:val="List Paragraph"/>
    <w:basedOn w:val="Normal"/>
    <w:uiPriority w:val="34"/>
    <w:qFormat/>
    <w:rsid w:val="002B1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49C71-C74C-4910-AB37-2A53EF4D2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576</Words>
  <Characters>3170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carlos alberto Reyes risueño</cp:lastModifiedBy>
  <cp:revision>39</cp:revision>
  <cp:lastPrinted>2017-01-24T16:22:00Z</cp:lastPrinted>
  <dcterms:created xsi:type="dcterms:W3CDTF">2018-08-29T01:22:00Z</dcterms:created>
  <dcterms:modified xsi:type="dcterms:W3CDTF">2021-08-17T16:02:00Z</dcterms:modified>
</cp:coreProperties>
</file>